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088"/>
        <w:gridCol w:w="98"/>
      </w:tblGrid>
      <w:tr>
        <w:trPr/>
        <w:tc>
          <w:tcPr>
            <w:tcW w:w="908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88"/>
            </w:tblGrid>
            <w:tr>
              <w:trPr>
                <w:trHeight w:val="3411" w:hRule="atLeast"/>
              </w:trPr>
              <w:tc>
                <w:tcPr>
                  <w:tcW w:w="9088" w:type="dxa"/>
                </w:tcPr>
                <w:tbl>
                  <w:tblPr>
                    <w:tblCellMar>
                      <w:top w:w="0" w:type="dxa"/>
                      <w:left w:w="0" w:type="dxa"/>
                      <w:bottom w:w="0" w:type="dxa"/>
                      <w:right w:w="0" w:type="dxa"/>
                    </w:tblCellMar>
                  </w:tblPr>
                  <w:tblGrid>
                    <w:gridCol w:w="9088"/>
                  </w:tblGrid>
                  <w:tr>
                    <w:trPr>
                      <w:trHeight w:val="3333" w:hRule="atLeast"/>
                    </w:trPr>
                    <w:tc>
                      <w:tcPr>
                        <w:tcW w:w="90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t>
                        </w:r>
                        <w:r>
                          <w:rPr>
                            <w:rFonts w:ascii="VIC" w:hAnsi="VIC" w:eastAsia="VIC"/>
                            <w:b/>
                            <w:color w:val="00573F"/>
                            <w:sz w:val="56"/>
                          </w:rPr>
                          <w:t xml:space="preserve">2023</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Bass Coast Health</w:t>
                        </w:r>
                      </w:p>
                    </w:tc>
                  </w:tr>
                </w:tbl>
                <w:p>
                  <w:pPr>
                    <w:spacing w:after="0" w:line="240" w:lineRule="auto"/>
                  </w:pPr>
                </w:p>
              </w:tc>
            </w:tr>
          </w:tbl>
          <w:p>
            <w:pPr>
              <w:spacing w:after="0" w:line="240" w:lineRule="auto"/>
            </w:pPr>
          </w:p>
        </w:tc>
        <w:tc>
          <w:tcPr>
            <w:tcW w:w="9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98"/>
            </w:tblGrid>
            <w:tr>
              <w:trPr>
                <w:trHeight w:val="925" w:hRule="atLeast"/>
              </w:trPr>
              <w:tc>
                <w:tcPr>
                  <w:tcW w:w="9070" w:type="dxa"/>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98" w:type="dxa"/>
                </w:tcPr>
                <w:p>
                  <w:pPr>
                    <w:pStyle w:val="EmptyCellLayoutStyle"/>
                    <w:spacing w:after="0" w:line="240" w:lineRule="auto"/>
                  </w:pPr>
                </w:p>
              </w:tc>
            </w:tr>
            <w:tr>
              <w:trPr>
                <w:trHeight w:val="19"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5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1822" w:hRule="atLeast"/>
              </w:trPr>
              <w:tc>
                <w:tcPr>
                  <w:tcW w:w="9070" w:type="dxa"/>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4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14"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3503" w:hRule="atLeast"/>
              </w:trPr>
              <w:tc>
                <w:tcPr>
                  <w:tcW w:w="9070" w:type="dxa"/>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r>
                          <w:fldChar w:fldCharType="begin" w:fldLock="0" w:dirty="0"/>
                        </w:r>
                        <w:r>
                          <w:rPr>
                            <w:noProof/>
                          </w:rPr>
                          <w:instrText xml:space="preserve"> HYPERLINK \l "Burnout" </w:instrText>
                        </w:r>
                        <w:r>
                          <w:fldChar w:fldCharType="separate" w:fldLock="0" w:dirty="0"/>
                        </w:r>
                        <w:r>
                          <w:rPr>
                            <w:rFonts w:ascii="VIC" w:hAnsi="VIC" w:eastAsia="VIC"/>
                            <w:color w:val="00573F"/>
                            <w:sz w:val="22"/>
                            <w:u w:val="single"/>
                          </w:rPr>
                        </w:r>
                        <w:r>
                          <w:rPr>
                            <w:rFonts w:ascii="VIC" w:hAnsi="VIC" w:eastAsia="VIC"/>
                            <w:color w:val="00573F"/>
                            <w:sz w:val="22"/>
                            <w:u w:val="single"/>
                          </w:rPr>
                          <w:br/>
                          <w:t xml:space="preserve">Burnout</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98"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690" w:hRule="atLeast"/>
              </w:trPr>
              <w:tc>
                <w:tcPr>
                  <w:tcW w:w="1" w:type="dxa"/>
                  <w:hMerge w:val="restart"/>
                </w:tcPr>
                <w:tbl>
                  <w:tblPr>
                    <w:tblCellMar>
                      <w:top w:w="0" w:type="dxa"/>
                      <w:left w:w="0" w:type="dxa"/>
                      <w:bottom w:w="0" w:type="dxa"/>
                      <w:right w:w="0" w:type="dxa"/>
                    </w:tblCellMar>
                  </w:tblPr>
                  <w:tblGrid>
                    <w:gridCol w:w="9052"/>
                  </w:tblGrid>
                  <w:tr>
                    <w:trPr>
                      <w:trHeight w:val="16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"DiscPerp"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90"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5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40" w:hRule="atLeast"/>
              </w:trPr>
              <w:tc>
                <w:tcPr>
                  <w:tcW w:w="1" w:type="dxa"/>
                  <w:hMerge w:val="restart"/>
                </w:tcPr>
                <w:tbl>
                  <w:tblPr>
                    <w:tblCellMar>
                      <w:top w:w="0" w:type="dxa"/>
                      <w:left w:w="0" w:type="dxa"/>
                      <w:bottom w:w="0" w:type="dxa"/>
                      <w:right w:w="0" w:type="dxa"/>
                    </w:tblCellMar>
                  </w:tblPr>
                  <w:tblGrid>
                    <w:gridCol w:w="9052"/>
                  </w:tblGrid>
                  <w:tr>
                    <w:trPr>
                      <w:trHeight w:val="26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fldChar w:fldCharType="begin" w:fldLock="0" w:dirty="0"/>
                        </w:r>
                        <w:r>
                          <w:rPr>
                            <w:noProof/>
                          </w:rPr>
                          <w:instrText xml:space="preserve"> HYPERLINK \l "WitnessNB" </w:instrText>
                        </w:r>
                        <w:r>
                          <w:fldChar w:fldCharType="separate" w:fldLock="0" w:dirty="0"/>
                        </w:r>
                        <w:r>
                          <w:rPr>
                            <w:rFonts w:ascii="VIC" w:hAnsi="VIC" w:eastAsia="VIC"/>
                            <w:color w:val="00573F"/>
                            <w:sz w:val="22"/>
                            <w:u w:val="single"/>
                          </w:rPr>
                          <w:t xml:space="preserve">Witness negative behaviours</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5"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7"/>
              <w:gridCol w:w="2"/>
              <w:gridCol w:w="7"/>
              <w:gridCol w:w="5"/>
              <w:gridCol w:w="9035"/>
              <w:gridCol w:w="17"/>
            </w:tblGrid>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39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33" w:hRule="atLeast"/>
              </w:trPr>
              <w:tc>
                <w:tcPr>
                  <w:tcW w:w="17"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5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5"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09"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"takingActionC"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4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"sLeadershipC"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36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6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working</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4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27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29" w:hRule="atLeast"/>
              </w:trPr>
              <w:tc>
                <w:tcPr>
                  <w:tcW w:w="17"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35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"TopicalQ" </w:instrText>
                        </w:r>
                        <w:r>
                          <w:fldChar w:fldCharType="separate" w:fldLock="0" w:dirty="0"/>
                        </w:r>
                        <w:r>
                          <w:rPr>
                            <w:rFonts w:ascii="VIC" w:hAnsi="VIC" w:eastAsia="VIC"/>
                            <w:b/>
                            <w:color w:val="00573F"/>
                            <w:sz w:val="48"/>
                            <w:u w:val="single"/>
                          </w:rPr>
                          <w:t xml:space="preserve">Topical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9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1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2023</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2021 and 2022.</w:t>
                        </w:r>
                      </w:p>
                      <w:p>
                        <w:pPr>
                          <w:spacing w:after="119" w:line="240" w:lineRule="auto"/>
                          <w:jc w:val="left"/>
                        </w:pPr>
                        <w:r>
                          <w:rPr>
                            <w:rFonts w:ascii="VIC" w:hAnsi="VIC" w:eastAsia="VIC"/>
                            <w:color w:val="000000"/>
                            <w:sz w:val="24"/>
                          </w:rPr>
                          <w:t xml:space="preserve">This means you’ll be able to compare about 93%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"https://vpsc.vic.gov.au/wp-content/uploads/2023/06/People-matter-survey-2023-questions-for-the-website-updated-09-06-2023-v5.docx" </w:instrText>
                        </w:r>
                        <w:r>
                          <w:fldChar w:fldCharType="separate" w:fldLock="0" w:dirty="0"/>
                        </w:r>
                        <w:r>
                          <w:rPr>
                            <w:rFonts w:ascii="VIC" w:hAnsi="VIC" w:eastAsia="VIC"/>
                            <w:color w:val="642667"/>
                            <w:sz w:val="24"/>
                          </w:rPr>
                          <w:t xml:space="preserve">Survey questions: People matter survey 2023 (DOCX, 83 pages)</w:t>
                        </w:r>
                        <w:r>
                          <w:fldChar w:fldCharType="end" w:fldLock="0" w:dirty="0"/>
                        </w:r>
                        <w:r>
                          <w:rPr>
                            <w:rFonts w:ascii="VIC" w:hAnsi="VIC" w:eastAsia="VIC"/>
                            <w:color w:val="000000"/>
                            <w:sz w:val="24"/>
                          </w:rPr>
                          <w:t xml:space="preserve"> to see how we asked questions and defined concepts in the </w:t>
                        </w:r>
                        <w:r>
                          <w:rPr>
                            <w:rFonts w:ascii="VIC" w:hAnsi="VIC" w:eastAsia="VIC"/>
                            <w:color w:val="000000"/>
                            <w:sz w:val="24"/>
                          </w:rPr>
                          <w:t xml:space="preserve">2023</w:t>
                        </w:r>
                        <w:r>
                          <w:rPr>
                            <w:rFonts w:ascii="VIC" w:hAnsi="VIC" w:eastAsia="VIC"/>
                            <w:color w:val="000000"/>
                            <w:sz w:val="24"/>
                          </w:rPr>
                          <w:t xml:space="preserve">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4966"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Benalla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Colac Area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Dhelkaya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East Grampians Health Service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Gippsland Southern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Kyabram and District Health Service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Maryborough District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Portland District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 Wimmera Health Service</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r>
                          <w:rPr>
                            <w:rFonts w:ascii="VIC" w:hAnsi="VIC" w:eastAsia="VIC"/>
                            <w:color w:val="000000"/>
                            <w:sz w:val="20"/>
                          </w:rPr>
                          <w:t xml:space="preserve"> </w:t>
                        </w:r>
                        <w:r>
                          <w:rPr>
                            <w:rFonts w:ascii="VIC" w:hAnsi="VIC" w:eastAsia="VIC"/>
                            <w:color w:val="000000"/>
                            <w:sz w:val="20"/>
                          </w:rPr>
                          <w:t xml:space="preserve">(350)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r>
                          <w:rPr>
                            <w:rFonts w:ascii="VIC" w:hAnsi="VIC" w:eastAsia="VIC"/>
                            <w:color w:val="000000"/>
                            <w:sz w:val="20"/>
                          </w:rPr>
                          <w:t xml:space="preserve"> </w:t>
                        </w:r>
                        <w:r>
                          <w:rPr>
                            <w:rFonts w:ascii="VIC" w:hAnsi="VIC" w:eastAsia="VIC"/>
                            <w:color w:val="000000"/>
                            <w:sz w:val="20"/>
                          </w:rPr>
                          <w:t xml:space="preserve">(390)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2685"/>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1231"/>
            </w:tblGrid>
            <w:tr>
              <w:trPr>
                <w:trHeight w:val="33" w:hRule="atLeast"/>
              </w:trPr>
              <w:tc>
                <w:tcPr>
                  <w:tcW w:w="4437" w:type="dxa"/>
                </w:tcPr>
                <w:p>
                  <w:pPr>
                    <w:spacing w:after="0" w:line="240" w:lineRule="auto"/>
                  </w:pPr>
                  <w:bookmarkStart w:id="13" w:name="SSI"/>
                  <w:bookmarkEnd w:id="13"/>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401"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2685"/>
              <w:gridCol w:w="715"/>
              <w:gridCol w:w="701"/>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2023</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Technology or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Unclear job expectations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 or workplace change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2654" w:hRule="atLeast"/>
              </w:trPr>
              <w:tc>
                <w:tcPr>
                  <w:tcW w:w="15" w:type="dxa"/>
                  <w:hMerge w:val="restart"/>
                </w:tcPr>
                <w:tbl>
                  <w:tblPr>
                    <w:tblCellMar>
                      <w:top w:w="0" w:type="dxa"/>
                      <w:left w:w="0" w:type="dxa"/>
                      <w:bottom w:w="0" w:type="dxa"/>
                      <w:right w:w="0" w:type="dxa"/>
                    </w:tblCellMar>
                  </w:tblPr>
                  <w:tblGrid>
                    <w:gridCol w:w="8860"/>
                  </w:tblGrid>
                  <w:tr>
                    <w:trPr>
                      <w:trHeight w:val="265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Burnout"/>
                        <w:bookmarkEnd w:id="21"/>
                        <w:bookmarkStart w:id="22" w:name="engagement"/>
                        <w:bookmarkEnd w:id="22"/>
                        <w:r>
                          <w:rPr>
                            <w:rFonts w:ascii="VIC" w:hAnsi="VIC" w:eastAsia="VIC"/>
                            <w:b/>
                            <w:color w:val="00573F"/>
                            <w:sz w:val="48"/>
                          </w:rPr>
                          <w:t xml:space="preserve">Burnout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burnout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Burnout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being burned 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burnout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burnout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burnout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Overall, based on your definition of burnout, how would you rate your level of burnout</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Occasionally I am under stress, and I don't always have as much energy as I once did, but I don't feel burned 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definitely burning out and have one or more symptoms of burnout, such as physical and emotional exhaustion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my work. I have no symptoms of burnout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symptoms of burnout that I am experiencing won't go away. I think about frustration at work a lot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completely burned out and often wonder if I can go on. I am at the point where I may need some changes or may need to seek some help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52"/>
        <w:gridCol w:w="133"/>
      </w:tblGrid>
      <w:tr>
        <w:trPr/>
        <w:tc>
          <w:tcPr>
            <w:tcW w:w="9052"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40"/>
              <w:gridCol w:w="191"/>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Stay"/>
                        <w:bookmarkEnd w:id="23"/>
                        <w:bookmarkStart w:id="24" w:name="engagement"/>
                        <w:bookmarkEnd w:id="24"/>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17"/>
                    <w:gridCol w:w="1417"/>
                    <w:gridCol w:w="1417"/>
                    <w:gridCol w:w="1969"/>
                    <w:gridCol w:w="1715"/>
                  </w:tblGrid>
                  <w:tr>
                    <w:trPr>
                      <w:trHeight w:val="602" w:hRule="atLeast"/>
                    </w:trPr>
                    <w:tc>
                      <w:tcPr>
                        <w:tcW w:w="25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5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hMerge w:val="continue"/>
                </w:tcPr>
                <w:p>
                  <w:pPr>
                    <w:pStyle w:val="EmptyCellLayoutStyle"/>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
                        <w:bookmarkEnd w:id="25"/>
                        <w:bookmarkStart w:id="26" w:name="engagement"/>
                        <w:bookmarkEnd w:id="26"/>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7" w:name="inclusionBarriers"/>
                        <w:bookmarkEnd w:id="27"/>
                        <w:bookmarkStart w:id="28" w:name="engagement"/>
                        <w:bookmarkEnd w:id="28"/>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3872" w:hRule="atLeast"/>
              </w:trPr>
              <w:tc>
                <w:tcPr>
                  <w:tcW w:w="15" w:type="dxa"/>
                  <w:hMerge w:val="restart"/>
                </w:tcPr>
                <w:tbl>
                  <w:tblPr>
                    <w:tblCellMar>
                      <w:top w:w="0" w:type="dxa"/>
                      <w:left w:w="0" w:type="dxa"/>
                      <w:bottom w:w="0" w:type="dxa"/>
                      <w:right w:w="0" w:type="dxa"/>
                    </w:tblCellMar>
                  </w:tblPr>
                  <w:tblGrid>
                    <w:gridCol w:w="8860"/>
                  </w:tblGrid>
                  <w:tr>
                    <w:trPr>
                      <w:trHeight w:val="38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engagement"/>
                        <w:bookmarkEnd w:id="29"/>
                        <w:r>
                          <w:rPr>
                            <w:rFonts w:ascii="VIC" w:hAnsi="VIC" w:eastAsia="VIC"/>
                            <w:b/>
                            <w:color w:val="00573F"/>
                            <w:sz w:val="48"/>
                          </w:rPr>
                          <w:t xml:space="preserve">Inclusion - Witnessed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witnessed were barriers to the success of other employees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choose from a list, any barriers that they may have witnessed that hinder the success of other employees at work.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Witnessed and did not witness barriers to the success of other employees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294</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employees witnessed barriers to the success of other employees due to their…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Cultural background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7805"/>
              <w:gridCol w:w="15"/>
              <w:gridCol w:w="18"/>
              <w:gridCol w:w="682"/>
              <w:gridCol w:w="15"/>
              <w:gridCol w:w="319"/>
            </w:tblGrid>
            <w:tr>
              <w:trPr>
                <w:trHeight w:val="5327" w:hRule="atLeast"/>
              </w:trPr>
              <w:tc>
                <w:tcPr>
                  <w:tcW w:w="15" w:type="dxa"/>
                </w:tcPr>
                <w:p>
                  <w:pPr>
                    <w:spacing w:after="0" w:line="240" w:lineRule="auto"/>
                  </w:pPr>
                  <w:bookmarkStart w:id="30" w:name="Emotion"/>
                  <w:bookmarkEnd w:id="30"/>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1" w:name="engagement"/>
                        <w:bookmarkEnd w:id="31"/>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612"/>
                          <w:gridCol w:w="1226"/>
                          <w:gridCol w:w="701"/>
                          <w:gridCol w:w="319"/>
                          <w:gridCol w:w="15"/>
                        </w:tblGrid>
                        <w:tr>
                          <w:trPr>
                            <w:trHeight w:val="5327" w:hRule="atLeast"/>
                          </w:trPr>
                          <w:tc>
                            <w:tcPr>
                              <w:tcW w:w="6612"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negBehaviours"/>
                                    <w:bookmarkEnd w:id="32"/>
                                    <w:bookmarkStart w:id="33" w:name="engagement"/>
                                    <w:bookmarkEnd w:id="33"/>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612"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4" w:name="Bullying"/>
                              <w:bookmarkEnd w:id="34"/>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engagement"/>
                                    <w:bookmarkEnd w:id="35"/>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6" w:name="bullyingTell"/>
                              <w:bookmarkEnd w:id="36"/>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7" w:name="engagement"/>
                                    <w:bookmarkEnd w:id="37"/>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bullyingNot"/>
                                    <w:bookmarkEnd w:id="38"/>
                                    <w:bookmarkStart w:id="39" w:name="engagement"/>
                                    <w:bookmarkEnd w:id="39"/>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964"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40" w:name="bullyingPerp"/>
                              <w:bookmarkEnd w:id="40"/>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engagement"/>
                                    <w:bookmarkEnd w:id="41"/>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2" w:name="SHarass"/>
                                    <w:bookmarkEnd w:id="42"/>
                                    <w:bookmarkStart w:id="43" w:name="engagement"/>
                                    <w:bookmarkEnd w:id="43"/>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4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SHarassResp"/>
                                    <w:bookmarkEnd w:id="44"/>
                                    <w:bookmarkStart w:id="45" w:name="engagement"/>
                                    <w:bookmarkEnd w:id="45"/>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6" w:name="SHarassNot"/>
                              <w:bookmarkEnd w:id="46"/>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7" w:name="engagement"/>
                                    <w:bookmarkEnd w:id="47"/>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781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SHarassPerp"/>
                                    <w:bookmarkEnd w:id="48"/>
                                    <w:bookmarkStart w:id="49" w:name="engagement"/>
                                    <w:bookmarkEnd w:id="49"/>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190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30"/>
                        </w:tblGrid>
                        <w:tr>
                          <w:trPr>
                            <w:trHeight w:val="3040" w:hRule="atLeast"/>
                          </w:trPr>
                          <w:tc>
                            <w:tcPr>
                              <w:tcW w:w="5139" w:type="dxa"/>
                              <w:hMerge w:val="restart"/>
                            </w:tcPr>
                            <w:tbl>
                              <w:tblPr>
                                <w:tblCellMar>
                                  <w:top w:w="0" w:type="dxa"/>
                                  <w:left w:w="0" w:type="dxa"/>
                                  <w:bottom w:w="0" w:type="dxa"/>
                                  <w:right w:w="0" w:type="dxa"/>
                                </w:tblCellMar>
                              </w:tblPr>
                              <w:tblGrid>
                                <w:gridCol w:w="8860"/>
                              </w:tblGrid>
                              <w:tr>
                                <w:trPr>
                                  <w:trHeight w:val="3040"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0" w:name="SHarassFreq"/>
                                    <w:bookmarkEnd w:id="50"/>
                                    <w:bookmarkStart w:id="51" w:name="engagement"/>
                                    <w:bookmarkEnd w:id="51"/>
                                    <w:r>
                                      <w:rPr>
                                        <w:rFonts w:ascii="VIC" w:hAnsi="VIC" w:eastAsia="VIC"/>
                                        <w:b/>
                                        <w:color w:val="00573F"/>
                                        <w:sz w:val="48"/>
                                      </w:rPr>
                                      <w:t xml:space="preserve">Frequency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often staff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the frequency staff experienced sexual harassment may help organisations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how often they experienced this behaviour.</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30" w:type="dxa"/>
                            </w:tcPr>
                            <w:p>
                              <w:pPr>
                                <w:pStyle w:val="EmptyCellLayoutStyle"/>
                                <w:spacing w:after="0" w:line="240" w:lineRule="auto"/>
                              </w:pPr>
                            </w:p>
                          </w:tc>
                        </w:tr>
                        <w:tr>
                          <w:trPr>
                            <w:trHeight w:val="10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How often have you experienced the behaviours?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At least once a day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every few days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week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month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Less than once a month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bl>
                      <w:p>
                        <w:pPr>
                          <w:spacing w:after="0" w:line="240" w:lineRule="auto"/>
                        </w:pPr>
                      </w:p>
                    </w:tc>
                  </w:tr>
                  <w:tr>
                    <w:trPr>
                      <w:trHeight w:val="28" w:hRule="atLeast"/>
                    </w:trPr>
                    <w:tc>
                      <w:tcPr>
                        <w:tcW w:w="15" w:type="dxa"/>
                      </w:tcPr>
                      <w:p>
                        <w:pPr>
                          <w:pStyle w:val="EmptyCellLayoutStyle"/>
                          <w:spacing w:after="0" w:line="240" w:lineRule="auto"/>
                        </w:pPr>
                      </w:p>
                    </w:tc>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2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2" w:name="DiscType"/>
                                    <w:bookmarkEnd w:id="52"/>
                                    <w:bookmarkStart w:id="53" w:name="engagement"/>
                                    <w:bookmarkEnd w:id="53"/>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9476"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4" w:name="DiscTell"/>
                                    <w:bookmarkEnd w:id="54"/>
                                    <w:bookmarkStart w:id="55" w:name="engagement"/>
                                    <w:bookmarkEnd w:id="55"/>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9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15"/>
                          <w:gridCol w:w="701"/>
                          <w:gridCol w:w="319"/>
                          <w:gridCol w:w="15"/>
                        </w:tblGrid>
                        <w:tr>
                          <w:trPr>
                            <w:trHeight w:val="3124" w:hRule="atLeast"/>
                          </w:trPr>
                          <w:tc>
                            <w:tcPr>
                              <w:tcW w:w="7824"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6" w:name="DiscNot"/>
                                    <w:bookmarkEnd w:id="56"/>
                                    <w:bookmarkStart w:id="57" w:name="engagement"/>
                                    <w:bookmarkEnd w:id="57"/>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discriminated against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discrimination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17977"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8" w:name="DiscPerp"/>
                                    <w:bookmarkEnd w:id="58"/>
                                    <w:bookmarkStart w:id="59" w:name="engagement"/>
                                    <w:bookmarkEnd w:id="59"/>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28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0" w:name="VAgg"/>
                                    <w:bookmarkEnd w:id="60"/>
                                    <w:bookmarkStart w:id="61" w:name="engagement"/>
                                    <w:bookmarkEnd w:id="61"/>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2" w:name="VAggTell"/>
                                    <w:bookmarkEnd w:id="62"/>
                                    <w:bookmarkStart w:id="63" w:name="engagement"/>
                                    <w:bookmarkEnd w:id="63"/>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4" w:name="VAggNot"/>
                                    <w:bookmarkEnd w:id="64"/>
                                    <w:bookmarkStart w:id="65" w:name="engagement"/>
                                    <w:bookmarkEnd w:id="65"/>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874"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6" w:name="VAggPerp"/>
                                    <w:bookmarkEnd w:id="66"/>
                                    <w:bookmarkStart w:id="67" w:name="engagement"/>
                                    <w:bookmarkEnd w:id="67"/>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7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716"/>
                          <w:gridCol w:w="15"/>
                          <w:gridCol w:w="319"/>
                          <w:gridCol w:w="15"/>
                        </w:tblGrid>
                        <w:tr>
                          <w:trPr>
                            <w:trHeight w:val="2450" w:hRule="atLeast"/>
                          </w:trPr>
                          <w:tc>
                            <w:tcPr>
                              <w:tcW w:w="6839" w:type="dxa"/>
                              <w:hMerge w:val="restart"/>
                            </w:tcPr>
                            <w:tbl>
                              <w:tblPr>
                                <w:tblCellMar>
                                  <w:top w:w="0" w:type="dxa"/>
                                  <w:left w:w="0" w:type="dxa"/>
                                  <w:bottom w:w="0" w:type="dxa"/>
                                  <w:right w:w="0" w:type="dxa"/>
                                </w:tblCellMar>
                              </w:tblPr>
                              <w:tblGrid>
                                <w:gridCol w:w="8875"/>
                              </w:tblGrid>
                              <w:tr>
                                <w:trPr>
                                  <w:trHeight w:val="2450"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8" w:name="WitnessNB"/>
                                    <w:bookmarkEnd w:id="68"/>
                                    <w:bookmarkStart w:id="69" w:name="engagement"/>
                                    <w:bookmarkEnd w:id="69"/>
                                    <w:r>
                                      <w:rPr>
                                        <w:rFonts w:ascii="VIC" w:hAnsi="VIC" w:eastAsia="VIC"/>
                                        <w:b/>
                                        <w:color w:val="00573F"/>
                                        <w:sz w:val="48"/>
                                      </w:rPr>
                                      <w:t xml:space="preserve">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witnessed people acting in a negative way against a colleague.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Witnessing negative behaviour can still have a negative impact on the person, as it does on the victim.</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They could tell us with one or more answers if they witnessed negative behaviour and what type they witnessed.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9" w:hRule="atLeast"/>
                          </w:trPr>
                          <w:tc>
                            <w:tcPr>
                              <w:tcW w:w="6839" w:type="dxa"/>
                              <w:hMerge w:val="restart"/>
                            </w:tcPr>
                            <w:tbl>
                              <w:tblPr>
                                <w:tblCellMar>
                                  <w:top w:w="0" w:type="dxa"/>
                                  <w:left w:w="0" w:type="dxa"/>
                                  <w:bottom w:w="0" w:type="dxa"/>
                                  <w:right w:w="0" w:type="dxa"/>
                                </w:tblCellMar>
                              </w:tblPr>
                              <w:tblGrid>
                                <w:gridCol w:w="8555"/>
                              </w:tblGrid>
                              <w:tr>
                                <w:trPr>
                                  <w:trHeight w:val="921"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in your current organisation, have you witnessed any of the following negative behaviours at work?</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716"/>
                          <w:gridCol w:w="15"/>
                          <w:gridCol w:w="319"/>
                          <w:gridCol w:w="15"/>
                        </w:tblGrid>
                        <w:tr>
                          <w:trPr>
                            <w:trHeight w:val="4527" w:hRule="atLeast"/>
                          </w:trPr>
                          <w:tc>
                            <w:tcPr>
                              <w:tcW w:w="7824" w:type="dxa"/>
                              <w:hMerge w:val="restart"/>
                            </w:tcPr>
                            <w:tbl>
                              <w:tblPr>
                                <w:tblCellMar>
                                  <w:top w:w="0" w:type="dxa"/>
                                  <w:left w:w="0" w:type="dxa"/>
                                  <w:bottom w:w="0" w:type="dxa"/>
                                  <w:right w:w="0" w:type="dxa"/>
                                </w:tblCellMar>
                              </w:tblPr>
                              <w:tblGrid>
                                <w:gridCol w:w="8875"/>
                              </w:tblGrid>
                              <w:tr>
                                <w:trPr>
                                  <w:trHeight w:val="4527"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0" w:name="engagement"/>
                                    <w:bookmarkEnd w:id="70"/>
                                    <w:r>
                                      <w:rPr>
                                        <w:rFonts w:ascii="VIC" w:hAnsi="VIC" w:eastAsia="VIC"/>
                                        <w:b/>
                                        <w:color w:val="00573F"/>
                                        <w:sz w:val="48"/>
                                      </w:rPr>
                                      <w:t xml:space="preserve">Take action when 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did when they witnessed negative behaviour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What staff do when they witness negative behaviour may help organisations understand what support their staff need.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If they did, they could tell us with one or more answers what action they took.</w:t>
                                    </w:r>
                                  </w:p>
                                  <w:p>
                                    <w:pPr>
                                      <w:spacing w:after="119" w:line="240" w:lineRule="auto"/>
                                      <w:jc w:val="left"/>
                                    </w:pPr>
                                    <w:r>
                                      <w:rPr>
                                        <w:rFonts w:ascii="VIC" w:hAnsi="VIC" w:eastAsia="VIC"/>
                                        <w:color w:val="000000"/>
                                        <w:sz w:val="24"/>
                                      </w:rPr>
                                      <w:t xml:space="preserve">The table shows the answers in descending order.</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1"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28" w:hRule="atLeast"/>
                          </w:trPr>
                          <w:tc>
                            <w:tcPr>
                              <w:tcW w:w="7824" w:type="dxa"/>
                              <w:hMerge w:val="restart"/>
                            </w:tcPr>
                            <w:tbl>
                              <w:tblPr>
                                <w:tblCellMar>
                                  <w:top w:w="0" w:type="dxa"/>
                                  <w:left w:w="0" w:type="dxa"/>
                                  <w:bottom w:w="0" w:type="dxa"/>
                                  <w:right w:w="0" w:type="dxa"/>
                                </w:tblCellMar>
                              </w:tblPr>
                              <w:tblGrid>
                                <w:gridCol w:w="8555"/>
                              </w:tblGrid>
                              <w:tr>
                                <w:trPr>
                                  <w:trHeight w:val="850"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When you witnessed the above behaviour(s), did you do any of the following?</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experienced the behaviour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behaved in a negative way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no action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97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975"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2685"/>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1" w:name="NBsatisfied"/>
                                    <w:bookmarkEnd w:id="71"/>
                                    <w:bookmarkStart w:id="72" w:name="engagement"/>
                                    <w:bookmarkEnd w:id="72"/>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3" w:name="keyDiff"/>
                                    <w:bookmarkEnd w:id="73"/>
                                    <w:bookmarkStart w:id="74" w:name="engagement"/>
                                    <w:bookmarkEnd w:id="74"/>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Highest"/>
                                    <w:bookmarkEnd w:id="75"/>
                                    <w:bookmarkStart w:id="76" w:name="engagement"/>
                                    <w:bookmarkEnd w:id="76"/>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the Code of Conduct for Victorian public sector employees applies to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Other questions</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uses inclusive and respectful images and language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the Charter of Human Rights and Responsibilities applies to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Human rights</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Lowest"/>
                                    <w:bookmarkEnd w:id="77"/>
                                    <w:bookmarkStart w:id="78" w:name="engagement"/>
                                    <w:bookmarkEnd w:id="78"/>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79" w:name="Improved"/>
                              <w:bookmarkEnd w:id="79"/>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0" w:name="engagement"/>
                                    <w:bookmarkEnd w:id="80"/>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2022</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learns from failures and mistakes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is quick to respond to opportunities to do things better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uses its resources well</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way my learning and development needs have been addressed in the last 12 months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How satisfied are you with the work/life balance in your current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Satisfaction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motivates me to help achieve its objectives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1" w:name="Declined"/>
                                    <w:bookmarkEnd w:id="81"/>
                                    <w:bookmarkStart w:id="82" w:name="engagement"/>
                                    <w:bookmarkEnd w:id="82"/>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2022</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workload I have is appropriate for the job that I do</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 say in how I do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the authority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5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3" w:name="positiveDiff"/>
                                    <w:bookmarkEnd w:id="83"/>
                                    <w:bookmarkStart w:id="84" w:name="engagement"/>
                                    <w:bookmarkEnd w:id="84"/>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treat each other with respect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acts fairly and without bias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is quick to respond to opportunities to do things better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appropriately manage conflicts of interest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learns from failures and mistakes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Innovation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honest, open and transparent in their dealings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workgroup work is allocated fairly, regardless of gender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5" w:name="negativeDiff"/>
                                    <w:bookmarkEnd w:id="85"/>
                                    <w:bookmarkStart w:id="86" w:name="engagement"/>
                                    <w:bookmarkEnd w:id="86"/>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workload I have is appropriate for the job that I do</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care errors are handled appropriately in my work area</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culture in my work area makes it easy to learn from the errors of others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the authority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way my learning and development needs have been addressed in the last 12 months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7" w:name="takingAction"/>
                                    <w:bookmarkEnd w:id="87"/>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8" w:name="takingActionC"/>
                                    <w:bookmarkEnd w:id="88"/>
                                    <w:bookmarkStart w:id="89" w:name="engagement"/>
                                    <w:bookmarkEnd w:id="89"/>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0" w:name="sLeadership"/>
                                    <w:bookmarkEnd w:id="90"/>
                                    <w:bookmarkStart w:id="91" w:name="reportOverview"/>
                                    <w:bookmarkEnd w:id="91"/>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215"/>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2" w:name="sLeadershipC"/>
                                    <w:bookmarkEnd w:id="92"/>
                                    <w:bookmarkStart w:id="93" w:name="engagement"/>
                                    <w:bookmarkEnd w:id="93"/>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4" w:name="orgClimate"/>
                                    <w:bookmarkEnd w:id="94"/>
                                    <w:bookmarkStart w:id="95" w:name="reportOverview"/>
                                    <w:bookmarkEnd w:id="95"/>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r>
                                      <w:rPr>
                                        <w:rFonts w:ascii="VIC" w:hAnsi="VIC" w:eastAsia="VIC"/>
                                        <w:color w:val="000000"/>
                                        <w:sz w:val="24"/>
                                      </w:rPr>
                                    </w:r>
                                    <w:r>
                                      <w:rPr>
                                        <w:rFonts w:ascii="VIC" w:hAnsi="VIC" w:eastAsia="VIC"/>
                                        <w:color w:val="000000"/>
                                        <w:sz w:val="24"/>
                                      </w:rPr>
                                      <w:b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3045"/>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6" w:name="SorgClimate"/>
                                    <w:bookmarkEnd w:id="96"/>
                                    <w:bookmarkStart w:id="97" w:name="engagement"/>
                                    <w:bookmarkEnd w:id="97"/>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045"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8" w:name="orgIntegrity"/>
                                    <w:bookmarkEnd w:id="98"/>
                                    <w:bookmarkStart w:id="99" w:name="engagement"/>
                                    <w:bookmarkEnd w:id="99"/>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0" w:name="wFlex"/>
                                    <w:bookmarkEnd w:id="100"/>
                                    <w:bookmarkStart w:id="101" w:name="engagement"/>
                                    <w:bookmarkEnd w:id="101"/>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SafetyCl"/>
                                    <w:bookmarkEnd w:id="102"/>
                                    <w:bookmarkStart w:id="103" w:name="engagement"/>
                                    <w:bookmarkEnd w:id="103"/>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Patient"/>
                                    <w:bookmarkEnd w:id="104"/>
                                    <w:bookmarkStart w:id="105" w:name="engagement"/>
                                    <w:bookmarkEnd w:id="105"/>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06" w:name="workgroupClimate"/>
                                    <w:bookmarkEnd w:id="106"/>
                                    <w:bookmarkStart w:id="107" w:name="reportOverview"/>
                                    <w:bookmarkEnd w:id="107"/>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46"/>
                          <w:gridCol w:w="52"/>
                          <w:gridCol w:w="20"/>
                          <w:gridCol w:w="1251"/>
                        </w:tblGrid>
                        <w:tr>
                          <w:trPr>
                            <w:trHeight w:val="5327" w:hRule="atLeast"/>
                          </w:trPr>
                          <w:tc>
                            <w:tcPr>
                              <w:tcW w:w="20" w:type="dxa"/>
                            </w:tcPr>
                            <w:p>
                              <w:pPr>
                                <w:spacing w:after="0" w:line="240" w:lineRule="auto"/>
                              </w:pPr>
                              <w:bookmarkStart w:id="108" w:name="SworkgroupClimate"/>
                              <w:bookmarkEnd w:id="108"/>
                            </w:p>
                          </w:tc>
                          <w:tc>
                            <w:tcPr>
                              <w:tcW w:w="774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9" w:name="engagement"/>
                                    <w:bookmarkEnd w:id="109"/>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46"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0" w:name="qualityService"/>
                                    <w:bookmarkEnd w:id="110"/>
                                    <w:bookmarkStart w:id="111" w:name="engagement"/>
                                    <w:bookmarkEnd w:id="111"/>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Innovation"/>
                                    <w:bookmarkEnd w:id="112"/>
                                    <w:bookmarkStart w:id="113" w:name="engagement"/>
                                    <w:bookmarkEnd w:id="113"/>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4" w:name="workgroupSupport"/>
                                    <w:bookmarkEnd w:id="114"/>
                                    <w:bookmarkStart w:id="115" w:name="engagement"/>
                                    <w:bookmarkEnd w:id="115"/>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22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6" w:name="safeSpeak"/>
                                    <w:bookmarkEnd w:id="116"/>
                                    <w:bookmarkStart w:id="117" w:name="engagement"/>
                                    <w:bookmarkEnd w:id="117"/>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18" w:name="jobFactors"/>
                                    <w:bookmarkEnd w:id="118"/>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99"/>
                          <w:gridCol w:w="20"/>
                          <w:gridCol w:w="20"/>
                          <w:gridCol w:w="1231"/>
                        </w:tblGrid>
                        <w:tr>
                          <w:trPr>
                            <w:trHeight w:val="5327" w:hRule="atLeast"/>
                          </w:trPr>
                          <w:tc>
                            <w:tcPr>
                              <w:tcW w:w="20" w:type="dxa"/>
                            </w:tcPr>
                            <w:p>
                              <w:pPr>
                                <w:spacing w:after="0" w:line="240" w:lineRule="auto"/>
                              </w:pPr>
                              <w:bookmarkStart w:id="119" w:name="SjobFactors"/>
                              <w:bookmarkEnd w:id="119"/>
                            </w:p>
                          </w:tc>
                          <w:tc>
                            <w:tcPr>
                              <w:tcW w:w="7799"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0" w:name="engagement"/>
                                    <w:bookmarkEnd w:id="120"/>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99"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779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1" w:name="mLeadership"/>
                                    <w:bookmarkEnd w:id="121"/>
                                    <w:bookmarkStart w:id="122" w:name="engagement"/>
                                    <w:bookmarkEnd w:id="122"/>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anagerSupport"/>
                                    <w:bookmarkEnd w:id="123"/>
                                    <w:bookmarkStart w:id="124" w:name="engagement"/>
                                    <w:bookmarkEnd w:id="124"/>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Workload"/>
                                    <w:bookmarkEnd w:id="125"/>
                                    <w:bookmarkStart w:id="126" w:name="engagement"/>
                                    <w:bookmarkEnd w:id="126"/>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LearningDev"/>
                                    <w:bookmarkEnd w:id="127"/>
                                    <w:bookmarkStart w:id="128" w:name="engagement"/>
                                    <w:bookmarkEnd w:id="128"/>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9" w:name="jobEnrich"/>
                                    <w:bookmarkEnd w:id="129"/>
                                    <w:bookmarkStart w:id="130" w:name="engagement"/>
                                    <w:bookmarkEnd w:id="130"/>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1" w:name="Meaningful"/>
                                    <w:bookmarkEnd w:id="131"/>
                                    <w:bookmarkStart w:id="132" w:name="engagement"/>
                                    <w:bookmarkEnd w:id="132"/>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3" w:name="FlexWork"/>
                                    <w:bookmarkEnd w:id="133"/>
                                    <w:bookmarkStart w:id="134" w:name="engagement"/>
                                    <w:bookmarkEnd w:id="134"/>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5" w:name="PSV"/>
                                    <w:bookmarkEnd w:id="135"/>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701"/>
                          <w:gridCol w:w="319"/>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6" w:name="PSVscorecard"/>
                                    <w:bookmarkEnd w:id="136"/>
                                    <w:bookmarkStart w:id="137" w:name="engagement"/>
                                    <w:bookmarkEnd w:id="137"/>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8" w:name="Responsiveness"/>
                                    <w:bookmarkEnd w:id="138"/>
                                    <w:bookmarkStart w:id="139" w:name="engagement"/>
                                    <w:bookmarkEnd w:id="139"/>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Integrity"/>
                                    <w:bookmarkEnd w:id="140"/>
                                    <w:bookmarkStart w:id="141" w:name="engagement"/>
                                    <w:bookmarkEnd w:id="141"/>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2" w:name="Impartiality"/>
                                    <w:bookmarkEnd w:id="142"/>
                                    <w:bookmarkStart w:id="143" w:name="engagement"/>
                                    <w:bookmarkEnd w:id="143"/>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4" w:name="Accountability"/>
                                    <w:bookmarkEnd w:id="144"/>
                                    <w:bookmarkStart w:id="145" w:name="engagement"/>
                                    <w:bookmarkEnd w:id="145"/>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6" w:name="Respect"/>
                                    <w:bookmarkEnd w:id="146"/>
                                    <w:bookmarkStart w:id="147" w:name="engagement"/>
                                    <w:bookmarkEnd w:id="147"/>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Leadership"/>
                                    <w:bookmarkEnd w:id="148"/>
                                    <w:bookmarkStart w:id="149" w:name="engagement"/>
                                    <w:bookmarkEnd w:id="149"/>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133"/>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0" w:name="humanRights"/>
                                    <w:bookmarkEnd w:id="150"/>
                                    <w:bookmarkStart w:id="151" w:name="engagement"/>
                                    <w:bookmarkEnd w:id="151"/>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133"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7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Topical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on topical issues, includes additional questions that support the Gender Equality Act 2020</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5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2" w:name="TopicalQ"/>
                                    <w:bookmarkEnd w:id="152"/>
                                    <w:bookmarkStart w:id="153" w:name="engagement"/>
                                    <w:bookmarkEnd w:id="153"/>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additional questions to support Workplace Gender Audits, in addition to existing survey questions on gender equality.</w:t>
                                    </w:r>
                                  </w:p>
                                  <w:p>
                                    <w:pPr>
                                      <w:spacing w:after="119" w:line="240" w:lineRule="auto"/>
                                      <w:jc w:val="left"/>
                                    </w:pPr>
                                    <w:r>
                                      <w:rPr>
                                        <w:rFonts w:ascii="VIC" w:hAnsi="VIC" w:eastAsia="VIC"/>
                                        <w:color w:val="000000"/>
                                        <w:sz w:val="24"/>
                                      </w:rPr>
                                      <w:t xml:space="preserve">Detailed results for all gender equality questions are provided to your Human Resources area in separate Excel reports.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 the Gender Equality Act 2020, organisations have obligations to promote gender equality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9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15"/>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
                    <w:gridCol w:w="9070"/>
                    <w:gridCol w:w="27"/>
                  </w:tblGrid>
                  <w:tr>
                    <w:trPr/>
                    <w:tc>
                      <w:tcPr>
                        <w:tcW w:w="27"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2215"/>
                          <w:gridCol w:w="1185"/>
                          <w:gridCol w:w="701"/>
                          <w:gridCol w:w="530"/>
                        </w:tblGrid>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engagement"/>
                                    <w:bookmarkEnd w:id="154"/>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Results for additional questions that gather data on whole of Government sector issues.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People matter survey is an efficient way to gather data on public sector issues, avoiding additional surveys.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0"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2"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27"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r>
        <w:trPr>
          <w:trHeight w:val="51" w:hRule="atLeast"/>
        </w:trPr>
        <w:tc>
          <w:tcPr>
            <w:tcW w:w="9125" w:type="dxa"/>
          </w:tcPr>
          <w:p>
            <w:pPr>
              <w:pStyle w:val="EmptyCellLayoutStyle"/>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5" w:name="Demographics"/>
                                    <w:bookmarkEnd w:id="155"/>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218"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6" w:name="ADF"/>
                                    <w:bookmarkEnd w:id="156"/>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879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8793" w:hRule="atLeast"/>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839"/>
                          <w:gridCol w:w="377"/>
                          <w:gridCol w:w="624"/>
                          <w:gridCol w:w="35"/>
                        </w:tblGrid>
                        <w:tr>
                          <w:trPr>
                            <w:trHeight w:val="5327" w:hRule="atLeast"/>
                          </w:trPr>
                          <w:tc>
                            <w:tcPr>
                              <w:tcW w:w="20"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7" w:name="ATSI"/>
                                    <w:bookmarkEnd w:id="157"/>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7839" w:type="dxa"/>
                              <w:hMerge w:val="continue"/>
                            </w:tcPr>
                            <w:p>
                              <w:pPr>
                                <w:pStyle w:val="EmptyCellLayoutStyle"/>
                                <w:spacing w:after="0" w:line="240" w:lineRule="auto"/>
                              </w:pPr>
                            </w:p>
                          </w:tc>
                          <w:tc>
                            <w:tcPr>
                              <w:tcW w:w="377" w:type="dxa"/>
                              <w:hMerge w:val="continue"/>
                            </w:tcPr>
                            <w:p>
                              <w:pPr>
                                <w:pStyle w:val="EmptyCellLayoutStyle"/>
                                <w:spacing w:after="0" w:line="240" w:lineRule="auto"/>
                              </w:pPr>
                            </w:p>
                          </w:tc>
                          <w:tc>
                            <w:tcPr>
                              <w:tcW w:w="624"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rHeight w:val="520" w:hRule="atLeast"/>
                          </w:trPr>
                          <w:tc>
                            <w:tcPr>
                              <w:tcW w:w="20" w:type="dxa"/>
                            </w:tcPr>
                            <w:p>
                              <w:pPr>
                                <w:pStyle w:val="EmptyCellLayoutStyle"/>
                                <w:spacing w:after="0" w:line="240" w:lineRule="auto"/>
                              </w:pPr>
                            </w:p>
                          </w:tc>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rHeight w:val="38"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rHeight w:val="715" w:hRule="atLeast"/>
                          </w:trPr>
                          <w:tc>
                            <w:tcPr>
                              <w:tcW w:w="20" w:type="dxa"/>
                            </w:tcPr>
                            <w:p>
                              <w:pPr>
                                <w:pStyle w:val="EmptyCellLayoutStyle"/>
                                <w:spacing w:after="0" w:line="240" w:lineRule="auto"/>
                              </w:pPr>
                            </w:p>
                          </w:tc>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rHeight w:val="23"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r>
                          <w:trPr>
                            <w:trHeight w:val="58"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24"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96"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8" w:name="Disability"/>
                                    <w:bookmarkEnd w:id="158"/>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8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9" w:name="CulturalDiversity"/>
                                    <w:bookmarkEnd w:id="159"/>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Telugu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Malayalam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Turkish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0" w:name="EmpCharacter"/>
                                    <w:bookmarkEnd w:id="160"/>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$80k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$80k to $120k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$120k to $160k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$160k to $200k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$200k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1" w:name="Adjustments"/>
                                    <w:bookmarkEnd w:id="161"/>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2" w:name="Caring"/>
                                    <w:bookmarkEnd w:id="162"/>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424"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3" w:name="engagement"/>
                                    <w:bookmarkEnd w:id="163"/>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therapy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science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assistant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 development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Counselling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and social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Pastoral / spiritual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34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Residential aged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64" w:name="EOR"/>
                        <w:bookmarkEnd w:id="164"/>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"https://vpsc.vic.gov.au/data-and-research/about-the-people-matter-survey/"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5">
    <w:nsid w:val="0000042A"/>
    <w:multiLevelType w:val="multilevel"/>
    <w:tmpl w:val="000004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6">
    <w:nsid w:val="0000042B"/>
    <w:multiLevelType w:val="multilevel"/>
    <w:tmpl w:val="000004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7">
    <w:nsid w:val="0000042C"/>
    <w:multiLevelType w:val="multilevel"/>
    <w:tmpl w:val="000004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8">
    <w:nsid w:val="0000042D"/>
    <w:multiLevelType w:val="multilevel"/>
    <w:tmpl w:val="000004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9">
    <w:nsid w:val="0000042E"/>
    <w:multiLevelType w:val="multilevel"/>
    <w:tmpl w:val="000004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0">
    <w:nsid w:val="0000042F"/>
    <w:multiLevelType w:val="multilevel"/>
    <w:tmpl w:val="000004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1">
    <w:nsid w:val="00000430"/>
    <w:multiLevelType w:val="multilevel"/>
    <w:tmpl w:val="000004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2">
    <w:nsid w:val="00000431"/>
    <w:multiLevelType w:val="multilevel"/>
    <w:tmpl w:val="000004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3">
    <w:nsid w:val="00000432"/>
    <w:multiLevelType w:val="multilevel"/>
    <w:tmpl w:val="000004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4">
    <w:nsid w:val="00000433"/>
    <w:multiLevelType w:val="multilevel"/>
    <w:tmpl w:val="000004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5">
    <w:nsid w:val="00000434"/>
    <w:multiLevelType w:val="multilevel"/>
    <w:tmpl w:val="000004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6">
    <w:nsid w:val="00000435"/>
    <w:multiLevelType w:val="multilevel"/>
    <w:tmpl w:val="000004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7">
    <w:nsid w:val="00000436"/>
    <w:multiLevelType w:val="multilevel"/>
    <w:tmpl w:val="000004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8">
    <w:nsid w:val="00000437"/>
    <w:multiLevelType w:val="multilevel"/>
    <w:tmpl w:val="000004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9">
    <w:nsid w:val="00000438"/>
    <w:multiLevelType w:val="multilevel"/>
    <w:tmpl w:val="000004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0">
    <w:nsid w:val="00000439"/>
    <w:multiLevelType w:val="multilevel"/>
    <w:tmpl w:val="000004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1">
    <w:nsid w:val="0000043A"/>
    <w:multiLevelType w:val="multilevel"/>
    <w:tmpl w:val="000004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2">
    <w:nsid w:val="0000043B"/>
    <w:multiLevelType w:val="multilevel"/>
    <w:tmpl w:val="000004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3">
    <w:nsid w:val="0000043C"/>
    <w:multiLevelType w:val="multilevel"/>
    <w:tmpl w:val="000004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4">
    <w:nsid w:val="0000043D"/>
    <w:multiLevelType w:val="multilevel"/>
    <w:tmpl w:val="000004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5">
    <w:nsid w:val="0000043E"/>
    <w:multiLevelType w:val="multilevel"/>
    <w:tmpl w:val="000004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6">
    <w:nsid w:val="0000043F"/>
    <w:multiLevelType w:val="multilevel"/>
    <w:tmpl w:val="000004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7">
    <w:nsid w:val="00000440"/>
    <w:multiLevelType w:val="multilevel"/>
    <w:tmpl w:val="000004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8">
    <w:nsid w:val="00000441"/>
    <w:multiLevelType w:val="multilevel"/>
    <w:tmpl w:val="000004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9">
    <w:nsid w:val="00000442"/>
    <w:multiLevelType w:val="multilevel"/>
    <w:tmpl w:val="000004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0">
    <w:nsid w:val="00000443"/>
    <w:multiLevelType w:val="multilevel"/>
    <w:tmpl w:val="000004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1">
    <w:nsid w:val="00000444"/>
    <w:multiLevelType w:val="multilevel"/>
    <w:tmpl w:val="000004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2">
    <w:nsid w:val="00000445"/>
    <w:multiLevelType w:val="multilevel"/>
    <w:tmpl w:val="000004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3">
    <w:nsid w:val="00000446"/>
    <w:multiLevelType w:val="multilevel"/>
    <w:tmpl w:val="000004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4">
    <w:nsid w:val="00000447"/>
    <w:multiLevelType w:val="multilevel"/>
    <w:tmpl w:val="000004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5">
    <w:nsid w:val="00000448"/>
    <w:multiLevelType w:val="multilevel"/>
    <w:tmpl w:val="000004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6">
    <w:nsid w:val="00000449"/>
    <w:multiLevelType w:val="multilevel"/>
    <w:tmpl w:val="000004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7">
    <w:nsid w:val="0000044A"/>
    <w:multiLevelType w:val="multilevel"/>
    <w:tmpl w:val="000004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8">
    <w:nsid w:val="0000044B"/>
    <w:multiLevelType w:val="multilevel"/>
    <w:tmpl w:val="000004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9">
    <w:nsid w:val="0000044C"/>
    <w:multiLevelType w:val="multilevel"/>
    <w:tmpl w:val="000004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0">
    <w:nsid w:val="0000044D"/>
    <w:multiLevelType w:val="multilevel"/>
    <w:tmpl w:val="000004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1">
    <w:nsid w:val="0000044E"/>
    <w:multiLevelType w:val="multilevel"/>
    <w:tmpl w:val="000004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2">
    <w:nsid w:val="0000044F"/>
    <w:multiLevelType w:val="multilevel"/>
    <w:tmpl w:val="000004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3">
    <w:nsid w:val="00000450"/>
    <w:multiLevelType w:val="multilevel"/>
    <w:tmpl w:val="000004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4">
    <w:nsid w:val="00000451"/>
    <w:multiLevelType w:val="multilevel"/>
    <w:tmpl w:val="000004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5">
    <w:nsid w:val="00000452"/>
    <w:multiLevelType w:val="multilevel"/>
    <w:tmpl w:val="000004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6">
    <w:nsid w:val="00000453"/>
    <w:multiLevelType w:val="multilevel"/>
    <w:tmpl w:val="000004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7">
    <w:nsid w:val="00000454"/>
    <w:multiLevelType w:val="multilevel"/>
    <w:tmpl w:val="000004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8">
    <w:nsid w:val="00000455"/>
    <w:multiLevelType w:val="multilevel"/>
    <w:tmpl w:val="000004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9">
    <w:nsid w:val="00000456"/>
    <w:multiLevelType w:val="multilevel"/>
    <w:tmpl w:val="000004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0">
    <w:nsid w:val="00000457"/>
    <w:multiLevelType w:val="multilevel"/>
    <w:tmpl w:val="000004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1">
    <w:nsid w:val="00000458"/>
    <w:multiLevelType w:val="multilevel"/>
    <w:tmpl w:val="000004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2">
    <w:nsid w:val="00000459"/>
    <w:multiLevelType w:val="multilevel"/>
    <w:tmpl w:val="000004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3">
    <w:nsid w:val="0000045A"/>
    <w:multiLevelType w:val="multilevel"/>
    <w:tmpl w:val="000004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4">
    <w:nsid w:val="0000045B"/>
    <w:multiLevelType w:val="multilevel"/>
    <w:tmpl w:val="000004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5">
    <w:nsid w:val="0000045C"/>
    <w:multiLevelType w:val="multilevel"/>
    <w:tmpl w:val="000004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6">
    <w:nsid w:val="0000045D"/>
    <w:multiLevelType w:val="multilevel"/>
    <w:tmpl w:val="000004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7">
    <w:nsid w:val="0000045E"/>
    <w:multiLevelType w:val="multilevel"/>
    <w:tmpl w:val="000004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8">
    <w:nsid w:val="0000045F"/>
    <w:multiLevelType w:val="multilevel"/>
    <w:tmpl w:val="000004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9">
    <w:nsid w:val="00000460"/>
    <w:multiLevelType w:val="multilevel"/>
    <w:tmpl w:val="000004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0">
    <w:nsid w:val="00000461"/>
    <w:multiLevelType w:val="multilevel"/>
    <w:tmpl w:val="000004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1">
    <w:nsid w:val="00000462"/>
    <w:multiLevelType w:val="multilevel"/>
    <w:tmpl w:val="000004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2">
    <w:nsid w:val="00000463"/>
    <w:multiLevelType w:val="multilevel"/>
    <w:tmpl w:val="000004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3">
    <w:nsid w:val="00000464"/>
    <w:multiLevelType w:val="multilevel"/>
    <w:tmpl w:val="000004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4">
    <w:nsid w:val="00000465"/>
    <w:multiLevelType w:val="multilevel"/>
    <w:tmpl w:val="000004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5">
    <w:nsid w:val="00000466"/>
    <w:multiLevelType w:val="multilevel"/>
    <w:tmpl w:val="000004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6">
    <w:nsid w:val="00000467"/>
    <w:multiLevelType w:val="multilevel"/>
    <w:tmpl w:val="000004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7">
    <w:nsid w:val="00000468"/>
    <w:multiLevelType w:val="multilevel"/>
    <w:tmpl w:val="000004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8">
    <w:nsid w:val="00000469"/>
    <w:multiLevelType w:val="multilevel"/>
    <w:tmpl w:val="000004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9">
    <w:nsid w:val="0000046A"/>
    <w:multiLevelType w:val="multilevel"/>
    <w:tmpl w:val="000004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 w:numId="1066">
    <w:abstractNumId w:val="1065"/>
  </w:num>
  <w:num w:numId="1067">
    <w:abstractNumId w:val="1066"/>
  </w:num>
  <w:num w:numId="1068">
    <w:abstractNumId w:val="1067"/>
  </w:num>
  <w:num w:numId="1069">
    <w:abstractNumId w:val="1068"/>
  </w:num>
  <w:num w:numId="1070">
    <w:abstractNumId w:val="1069"/>
  </w:num>
  <w:num w:numId="1071">
    <w:abstractNumId w:val="1070"/>
  </w:num>
  <w:num w:numId="1072">
    <w:abstractNumId w:val="1071"/>
  </w:num>
  <w:num w:numId="1073">
    <w:abstractNumId w:val="1072"/>
  </w:num>
  <w:num w:numId="1074">
    <w:abstractNumId w:val="1073"/>
  </w:num>
  <w:num w:numId="1075">
    <w:abstractNumId w:val="1074"/>
  </w:num>
  <w:num w:numId="1076">
    <w:abstractNumId w:val="1075"/>
  </w:num>
  <w:num w:numId="1077">
    <w:abstractNumId w:val="1076"/>
  </w:num>
  <w:num w:numId="1078">
    <w:abstractNumId w:val="1077"/>
  </w:num>
  <w:num w:numId="1079">
    <w:abstractNumId w:val="1078"/>
  </w:num>
  <w:num w:numId="1080">
    <w:abstractNumId w:val="1079"/>
  </w:num>
  <w:num w:numId="1081">
    <w:abstractNumId w:val="1080"/>
  </w:num>
  <w:num w:numId="1082">
    <w:abstractNumId w:val="1081"/>
  </w:num>
  <w:num w:numId="1083">
    <w:abstractNumId w:val="1082"/>
  </w:num>
  <w:num w:numId="1084">
    <w:abstractNumId w:val="1083"/>
  </w:num>
  <w:num w:numId="1085">
    <w:abstractNumId w:val="1084"/>
  </w:num>
  <w:num w:numId="1086">
    <w:abstractNumId w:val="1085"/>
  </w:num>
  <w:num w:numId="1087">
    <w:abstractNumId w:val="1086"/>
  </w:num>
  <w:num w:numId="1088">
    <w:abstractNumId w:val="1087"/>
  </w:num>
  <w:num w:numId="1089">
    <w:abstractNumId w:val="1088"/>
  </w:num>
  <w:num w:numId="1090">
    <w:abstractNumId w:val="1089"/>
  </w:num>
  <w:num w:numId="1091">
    <w:abstractNumId w:val="1090"/>
  </w:num>
  <w:num w:numId="1092">
    <w:abstractNumId w:val="1091"/>
  </w:num>
  <w:num w:numId="1093">
    <w:abstractNumId w:val="1092"/>
  </w:num>
  <w:num w:numId="1094">
    <w:abstractNumId w:val="1093"/>
  </w:num>
  <w:num w:numId="1095">
    <w:abstractNumId w:val="1094"/>
  </w:num>
  <w:num w:numId="1096">
    <w:abstractNumId w:val="1095"/>
  </w:num>
  <w:num w:numId="1097">
    <w:abstractNumId w:val="1096"/>
  </w:num>
  <w:num w:numId="1098">
    <w:abstractNumId w:val="1097"/>
  </w:num>
  <w:num w:numId="1099">
    <w:abstractNumId w:val="1098"/>
  </w:num>
  <w:num w:numId="1100">
    <w:abstractNumId w:val="1099"/>
  </w:num>
  <w:num w:numId="1101">
    <w:abstractNumId w:val="1100"/>
  </w:num>
  <w:num w:numId="1102">
    <w:abstractNumId w:val="1101"/>
  </w:num>
  <w:num w:numId="1103">
    <w:abstractNumId w:val="1102"/>
  </w:num>
  <w:num w:numId="1104">
    <w:abstractNumId w:val="1103"/>
  </w:num>
  <w:num w:numId="1105">
    <w:abstractNumId w:val="1104"/>
  </w:num>
  <w:num w:numId="1106">
    <w:abstractNumId w:val="1105"/>
  </w:num>
  <w:num w:numId="1107">
    <w:abstractNumId w:val="1106"/>
  </w:num>
  <w:num w:numId="1108">
    <w:abstractNumId w:val="1107"/>
  </w:num>
  <w:num w:numId="1109">
    <w:abstractNumId w:val="1108"/>
  </w:num>
  <w:num w:numId="1110">
    <w:abstractNumId w:val="1109"/>
  </w:num>
  <w:num w:numId="1111">
    <w:abstractNumId w:val="1110"/>
  </w:num>
  <w:num w:numId="1112">
    <w:abstractNumId w:val="1111"/>
  </w:num>
  <w:num w:numId="1113">
    <w:abstractNumId w:val="1112"/>
  </w:num>
  <w:num w:numId="1114">
    <w:abstractNumId w:val="1113"/>
  </w:num>
  <w:num w:numId="1115">
    <w:abstractNumId w:val="1114"/>
  </w:num>
  <w:num w:numId="1116">
    <w:abstractNumId w:val="1115"/>
  </w:num>
  <w:num w:numId="1117">
    <w:abstractNumId w:val="1116"/>
  </w:num>
  <w:num w:numId="1118">
    <w:abstractNumId w:val="1117"/>
  </w:num>
  <w:num w:numId="1119">
    <w:abstractNumId w:val="1118"/>
  </w:num>
  <w:num w:numId="1120">
    <w:abstractNumId w:val="1119"/>
  </w:num>
  <w:num w:numId="1121">
    <w:abstractNumId w:val="1120"/>
  </w:num>
  <w:num w:numId="1122">
    <w:abstractNumId w:val="1121"/>
  </w:num>
  <w:num w:numId="1123">
    <w:abstractNumId w:val="1122"/>
  </w:num>
  <w:num w:numId="1124">
    <w:abstractNumId w:val="1123"/>
  </w:num>
  <w:num w:numId="1125">
    <w:abstractNumId w:val="1124"/>
  </w:num>
  <w:num w:numId="1126">
    <w:abstractNumId w:val="1125"/>
  </w:num>
  <w:num w:numId="1127">
    <w:abstractNumId w:val="1126"/>
  </w:num>
  <w:num w:numId="1128">
    <w:abstractNumId w:val="1127"/>
  </w:num>
  <w:num w:numId="1129">
    <w:abstractNumId w:val="1128"/>
  </w:num>
  <w:num w:numId="1130">
    <w:abstractNumId w:val="112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dc:title>
</cp:coreProperties>
</file>