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1D91" w14:textId="171F25DC" w:rsidR="00D27967" w:rsidRPr="007229A0" w:rsidRDefault="007229A0" w:rsidP="007229A0">
      <w:pPr>
        <w:pStyle w:val="Title"/>
      </w:pPr>
      <w:bookmarkStart w:id="0" w:name="_GoBack"/>
      <w:bookmarkEnd w:id="0"/>
      <w:r>
        <w:br/>
      </w:r>
      <w:r w:rsidRPr="007229A0">
        <w:t>Victorian Public Service Pre</w:t>
      </w:r>
      <w:r>
        <w:t>-</w:t>
      </w:r>
      <w:r w:rsidRPr="007229A0">
        <w:t>employment Screening Policy</w:t>
      </w:r>
    </w:p>
    <w:p w14:paraId="0D43A3E2" w14:textId="77777777" w:rsidR="007229A0" w:rsidRPr="007229A0" w:rsidRDefault="007229A0" w:rsidP="007229A0">
      <w:pPr>
        <w:pStyle w:val="NLH1VPSC"/>
        <w:numPr>
          <w:ilvl w:val="0"/>
          <w:numId w:val="22"/>
        </w:numPr>
        <w:ind w:left="794" w:hanging="794"/>
        <w:rPr>
          <w:rFonts w:asciiTheme="minorHAnsi" w:hAnsiTheme="minorHAnsi"/>
          <w:b/>
          <w:bCs/>
          <w:color w:val="00573F" w:themeColor="accent1"/>
          <w:sz w:val="36"/>
          <w:szCs w:val="36"/>
        </w:rPr>
      </w:pPr>
      <w:r w:rsidRPr="007229A0">
        <w:rPr>
          <w:rFonts w:asciiTheme="minorHAnsi" w:hAnsiTheme="minorHAnsi"/>
          <w:b/>
          <w:bCs/>
          <w:color w:val="00573F" w:themeColor="accent1"/>
          <w:sz w:val="36"/>
          <w:szCs w:val="36"/>
        </w:rPr>
        <w:t xml:space="preserve">Purpose </w:t>
      </w:r>
    </w:p>
    <w:p w14:paraId="76F2C940" w14:textId="77777777" w:rsidR="007229A0" w:rsidRDefault="007229A0" w:rsidP="007229A0">
      <w:pPr>
        <w:autoSpaceDE w:val="0"/>
        <w:autoSpaceDN w:val="0"/>
        <w:adjustRightInd w:val="0"/>
        <w:spacing w:after="0"/>
        <w:rPr>
          <w:rFonts w:ascii="Arial" w:eastAsia="Times New Roman" w:hAnsi="Arial" w:cs="Tahoma"/>
          <w:color w:val="002319" w:themeColor="text1"/>
          <w:sz w:val="20"/>
          <w:szCs w:val="20"/>
          <w:lang w:eastAsia="en-AU"/>
        </w:rPr>
      </w:pPr>
    </w:p>
    <w:p w14:paraId="5B1F8646"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The Victorian Public Service (VPS) needs employees who act in accordance with the public sector values. VPS employees occupy positions of trust in the community and must be accountable for their actions.</w:t>
      </w:r>
    </w:p>
    <w:p w14:paraId="636F062A"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Misconduct</w:t>
      </w:r>
      <w:r w:rsidRPr="007229A0">
        <w:rPr>
          <w:rStyle w:val="FootnoteReference"/>
          <w:rFonts w:asciiTheme="minorHAnsi" w:hAnsiTheme="minorHAnsi"/>
          <w:sz w:val="22"/>
          <w:szCs w:val="22"/>
        </w:rPr>
        <w:footnoteReference w:id="2"/>
      </w:r>
      <w:r w:rsidRPr="007229A0">
        <w:rPr>
          <w:rFonts w:asciiTheme="minorHAnsi" w:hAnsiTheme="minorHAnsi"/>
          <w:sz w:val="22"/>
          <w:szCs w:val="22"/>
        </w:rPr>
        <w:t xml:space="preserve"> by VPS employees can put the safety of employees and the community at risk and erode public trust.</w:t>
      </w:r>
    </w:p>
    <w:p w14:paraId="354C7830"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Thorough pre-employment misconduct screening can reduce the chance of employees moving between employers without relevant misconduct being identified. It also enables a risk assessment of any misconduct identified in a candidate’s work history.</w:t>
      </w:r>
    </w:p>
    <w:p w14:paraId="51AB97BD"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Victorian Public Service Pre-employment Screening Policy (this Policy) sets out the responsibilities and obligations for </w:t>
      </w:r>
      <w:r w:rsidRPr="007229A0">
        <w:rPr>
          <w:rFonts w:asciiTheme="minorHAnsi" w:hAnsiTheme="minorHAnsi"/>
          <w:b/>
          <w:sz w:val="22"/>
          <w:szCs w:val="22"/>
        </w:rPr>
        <w:t>all VPS employers and candidates for employment</w:t>
      </w:r>
      <w:r w:rsidRPr="007229A0">
        <w:rPr>
          <w:rFonts w:asciiTheme="minorHAnsi" w:hAnsiTheme="minorHAnsi"/>
          <w:sz w:val="22"/>
          <w:szCs w:val="22"/>
        </w:rPr>
        <w:t xml:space="preserve"> in public service bodies</w:t>
      </w:r>
      <w:r w:rsidRPr="007229A0">
        <w:rPr>
          <w:rStyle w:val="FootnoteReference"/>
          <w:rFonts w:asciiTheme="minorHAnsi" w:hAnsiTheme="minorHAnsi"/>
          <w:sz w:val="22"/>
          <w:szCs w:val="22"/>
        </w:rPr>
        <w:footnoteReference w:id="3"/>
      </w:r>
      <w:r w:rsidRPr="007229A0">
        <w:rPr>
          <w:rFonts w:asciiTheme="minorHAnsi" w:hAnsiTheme="minorHAnsi"/>
          <w:sz w:val="22"/>
          <w:szCs w:val="22"/>
        </w:rPr>
        <w:t xml:space="preserve">. </w:t>
      </w:r>
      <w:bookmarkStart w:id="1" w:name="_Toc518980154"/>
    </w:p>
    <w:bookmarkEnd w:id="1"/>
    <w:p w14:paraId="3EE90062" w14:textId="791146E2" w:rsidR="007229A0" w:rsidRPr="007229A0" w:rsidRDefault="007229A0" w:rsidP="007229A0">
      <w:pPr>
        <w:spacing w:after="100" w:line="276" w:lineRule="auto"/>
        <w:rPr>
          <w:rFonts w:asciiTheme="minorHAnsi" w:eastAsia="Times New Roman" w:hAnsiTheme="minorHAnsi" w:cs="Tahoma"/>
          <w:color w:val="002319" w:themeColor="text1"/>
          <w:lang w:eastAsia="en-AU"/>
        </w:rPr>
      </w:pPr>
      <w:r w:rsidRPr="007229A0">
        <w:rPr>
          <w:rFonts w:asciiTheme="minorHAnsi" w:eastAsia="Times New Roman" w:hAnsiTheme="minorHAnsi" w:cs="Tahoma"/>
          <w:color w:val="002319" w:themeColor="text1"/>
          <w:lang w:eastAsia="en-AU"/>
        </w:rPr>
        <w:t>This Policy requires that a declaration and a consent form (collectively, the Form) be completed by all candidates</w:t>
      </w:r>
      <w:r w:rsidR="00884319" w:rsidRPr="43E64461">
        <w:rPr>
          <w:rFonts w:asciiTheme="minorHAnsi" w:eastAsia="Times New Roman" w:hAnsiTheme="minorHAnsi" w:cs="Tahoma"/>
          <w:color w:val="002319" w:themeColor="text1"/>
          <w:lang w:eastAsia="en-AU"/>
        </w:rPr>
        <w:t xml:space="preserve"> as part of the recruitment process for all VPS </w:t>
      </w:r>
      <w:r w:rsidR="00884319" w:rsidRPr="43E64461">
        <w:rPr>
          <w:rFonts w:asciiTheme="minorHAnsi" w:eastAsia="Times New Roman" w:hAnsiTheme="minorHAnsi" w:cs="Tahoma"/>
          <w:color w:val="002319" w:themeColor="text1"/>
          <w:lang w:eastAsia="en-AU"/>
        </w:rPr>
        <w:lastRenderedPageBreak/>
        <w:t>positions in public service bodies.</w:t>
      </w:r>
      <w:r w:rsidRPr="007229A0">
        <w:rPr>
          <w:rFonts w:asciiTheme="minorHAnsi" w:eastAsia="Times New Roman" w:hAnsiTheme="minorHAnsi" w:cs="Tahoma"/>
          <w:color w:val="002319" w:themeColor="text1"/>
          <w:lang w:eastAsia="en-AU"/>
        </w:rPr>
        <w:t xml:space="preserve"> </w:t>
      </w:r>
      <w:r w:rsidR="00884319" w:rsidRPr="43E64461">
        <w:rPr>
          <w:rFonts w:asciiTheme="minorHAnsi" w:eastAsia="Times New Roman" w:hAnsiTheme="minorHAnsi" w:cs="Tahoma"/>
          <w:color w:val="002319" w:themeColor="text1"/>
          <w:lang w:eastAsia="en-AU"/>
        </w:rPr>
        <w:t>This includes</w:t>
      </w:r>
      <w:r w:rsidR="00F36E2A" w:rsidRPr="43E64461">
        <w:rPr>
          <w:rFonts w:asciiTheme="minorHAnsi" w:eastAsia="Times New Roman" w:hAnsiTheme="minorHAnsi" w:cs="Tahoma"/>
          <w:color w:val="002319" w:themeColor="text1"/>
          <w:lang w:eastAsia="en-AU"/>
        </w:rPr>
        <w:t xml:space="preserve"> candidates</w:t>
      </w:r>
      <w:r w:rsidR="00884319" w:rsidRPr="43E64461">
        <w:rPr>
          <w:rFonts w:asciiTheme="minorHAnsi" w:eastAsia="Times New Roman" w:hAnsiTheme="minorHAnsi" w:cs="Tahoma"/>
          <w:color w:val="002319" w:themeColor="text1"/>
          <w:lang w:eastAsia="en-AU"/>
        </w:rPr>
        <w:t xml:space="preserve"> </w:t>
      </w:r>
      <w:r w:rsidRPr="007229A0">
        <w:rPr>
          <w:rFonts w:asciiTheme="minorHAnsi" w:eastAsia="Times New Roman" w:hAnsiTheme="minorHAnsi" w:cs="Tahoma"/>
          <w:color w:val="002319" w:themeColor="text1"/>
          <w:lang w:eastAsia="en-AU"/>
        </w:rPr>
        <w:t>already working in an organisation or the broader VPS</w:t>
      </w:r>
      <w:r w:rsidR="005D509A" w:rsidRPr="43E64461">
        <w:rPr>
          <w:rFonts w:asciiTheme="minorHAnsi" w:eastAsia="Times New Roman" w:hAnsiTheme="minorHAnsi" w:cs="Tahoma"/>
          <w:color w:val="002319" w:themeColor="text1"/>
          <w:lang w:eastAsia="en-AU"/>
        </w:rPr>
        <w:t xml:space="preserve">, at the </w:t>
      </w:r>
      <w:r w:rsidR="4A42C432" w:rsidRPr="43E64461">
        <w:rPr>
          <w:rFonts w:asciiTheme="minorHAnsi" w:eastAsia="Times New Roman" w:hAnsiTheme="minorHAnsi" w:cs="Tahoma"/>
          <w:color w:val="002319" w:themeColor="text1"/>
          <w:lang w:eastAsia="en-AU"/>
        </w:rPr>
        <w:t xml:space="preserve">VPS officer or </w:t>
      </w:r>
      <w:r w:rsidR="005D509A" w:rsidRPr="43E64461">
        <w:rPr>
          <w:rFonts w:asciiTheme="minorHAnsi" w:eastAsia="Times New Roman" w:hAnsiTheme="minorHAnsi" w:cs="Tahoma"/>
          <w:color w:val="002319" w:themeColor="text1"/>
          <w:lang w:eastAsia="en-AU"/>
        </w:rPr>
        <w:t>executive level,</w:t>
      </w:r>
      <w:r w:rsidRPr="007229A0">
        <w:rPr>
          <w:rFonts w:asciiTheme="minorHAnsi" w:eastAsia="Times New Roman" w:hAnsiTheme="minorHAnsi" w:cs="Tahoma"/>
          <w:color w:val="002319" w:themeColor="text1"/>
          <w:lang w:eastAsia="en-AU"/>
        </w:rPr>
        <w:t xml:space="preserve"> as well as external candidates. The </w:t>
      </w:r>
      <w:r w:rsidRPr="007229A0">
        <w:rPr>
          <w:rFonts w:asciiTheme="minorHAnsi" w:eastAsia="Times New Roman" w:hAnsiTheme="minorHAnsi" w:cs="Tahoma"/>
          <w:i/>
          <w:iCs/>
          <w:color w:val="002319" w:themeColor="text1"/>
          <w:lang w:eastAsia="en-AU"/>
        </w:rPr>
        <w:t>Guide to Implementing the Victorian Public Service Pre-Employment Screening Policy</w:t>
      </w:r>
      <w:r w:rsidRPr="007229A0">
        <w:rPr>
          <w:rFonts w:asciiTheme="minorHAnsi" w:eastAsia="Times New Roman" w:hAnsiTheme="minorHAnsi" w:cs="Tahoma"/>
          <w:color w:val="002319" w:themeColor="text1"/>
          <w:lang w:eastAsia="en-AU"/>
        </w:rPr>
        <w:t xml:space="preserve"> provides a model declaration and consent form and a statutory declaration and consent form that meet the minimum requirements for a declaration under this policy. </w:t>
      </w:r>
    </w:p>
    <w:p w14:paraId="0BC07776" w14:textId="77777777" w:rsidR="007229A0" w:rsidRPr="007229A0" w:rsidRDefault="007229A0" w:rsidP="007229A0">
      <w:pPr>
        <w:spacing w:after="100" w:line="276" w:lineRule="auto"/>
        <w:rPr>
          <w:rFonts w:asciiTheme="minorHAnsi" w:eastAsia="Times New Roman" w:hAnsiTheme="minorHAnsi" w:cs="Tahoma"/>
          <w:color w:val="002319" w:themeColor="text1"/>
          <w:lang w:eastAsia="en-AU"/>
        </w:rPr>
      </w:pPr>
      <w:r w:rsidRPr="007229A0">
        <w:rPr>
          <w:rFonts w:asciiTheme="minorHAnsi" w:eastAsia="Times New Roman" w:hAnsiTheme="minorHAnsi" w:cs="Tahoma"/>
          <w:color w:val="002319" w:themeColor="text1"/>
          <w:lang w:eastAsia="en-AU"/>
        </w:rPr>
        <w:t xml:space="preserve">Under this Policy, offers of employment in public service bodies should be made subject to the successful outcome of screening checks. </w:t>
      </w:r>
    </w:p>
    <w:p w14:paraId="100186BC" w14:textId="77777777" w:rsidR="007229A0" w:rsidRPr="007229A0" w:rsidRDefault="007229A0" w:rsidP="007229A0">
      <w:pPr>
        <w:pStyle w:val="NLH1VPSC"/>
        <w:numPr>
          <w:ilvl w:val="0"/>
          <w:numId w:val="22"/>
        </w:numPr>
        <w:ind w:left="794" w:hanging="794"/>
        <w:rPr>
          <w:rFonts w:asciiTheme="minorHAnsi" w:hAnsiTheme="minorHAnsi"/>
          <w:b/>
          <w:bCs/>
          <w:color w:val="00573F" w:themeColor="accent1"/>
          <w:sz w:val="36"/>
          <w:szCs w:val="36"/>
        </w:rPr>
      </w:pPr>
      <w:r w:rsidRPr="007229A0">
        <w:rPr>
          <w:rFonts w:asciiTheme="minorHAnsi" w:hAnsiTheme="minorHAnsi"/>
          <w:b/>
          <w:bCs/>
          <w:color w:val="00573F" w:themeColor="accent1"/>
          <w:sz w:val="36"/>
          <w:szCs w:val="36"/>
        </w:rPr>
        <w:t>Principles</w:t>
      </w:r>
    </w:p>
    <w:p w14:paraId="259A8947"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sector values</w:t>
      </w:r>
    </w:p>
    <w:p w14:paraId="34913E5D"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Victorian Public Sector Commission (the VPSC) issues the </w:t>
      </w:r>
      <w:hyperlink r:id="rId11" w:history="1">
        <w:r w:rsidRPr="007229A0">
          <w:rPr>
            <w:rStyle w:val="Hyperlink"/>
            <w:rFonts w:asciiTheme="minorHAnsi" w:hAnsiTheme="minorHAnsi"/>
            <w:iCs/>
            <w:sz w:val="22"/>
            <w:szCs w:val="22"/>
          </w:rPr>
          <w:t>Code of Conduct for Victorian Public Sector Employees</w:t>
        </w:r>
      </w:hyperlink>
      <w:r w:rsidRPr="007229A0">
        <w:rPr>
          <w:rFonts w:asciiTheme="minorHAnsi" w:hAnsiTheme="minorHAnsi"/>
          <w:sz w:val="22"/>
          <w:szCs w:val="22"/>
        </w:rPr>
        <w:t xml:space="preserve">, based on the Public Sector Values enshrined in the </w:t>
      </w:r>
      <w:hyperlink r:id="rId12" w:history="1">
        <w:r w:rsidRPr="007229A0">
          <w:rPr>
            <w:rStyle w:val="Hyperlink"/>
            <w:rFonts w:asciiTheme="minorHAnsi" w:hAnsiTheme="minorHAnsi"/>
            <w:iCs/>
            <w:sz w:val="22"/>
            <w:szCs w:val="22"/>
          </w:rPr>
          <w:t>Public Administration Act 2004</w:t>
        </w:r>
      </w:hyperlink>
      <w:r w:rsidRPr="007229A0">
        <w:rPr>
          <w:rFonts w:asciiTheme="minorHAnsi" w:hAnsiTheme="minorHAnsi"/>
          <w:sz w:val="22"/>
          <w:szCs w:val="22"/>
        </w:rPr>
        <w:t xml:space="preserve"> (PAA). </w:t>
      </w:r>
    </w:p>
    <w:p w14:paraId="431239E5"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Under the PAA, the Code of Conduct is binding on public sector employees and any contravention of it constitutes misconduct. The Values and the Code of Conduct support the high standards the community expects of its public sector. They are the foundation of the integrity and accountability framework for all public sector employees. </w:t>
      </w:r>
    </w:p>
    <w:p w14:paraId="2D43E44E"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interest</w:t>
      </w:r>
    </w:p>
    <w:p w14:paraId="209A3D35"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VPS employees are obliged to act in the interests of the Victorian community. </w:t>
      </w:r>
      <w:r w:rsidRPr="007229A0">
        <w:rPr>
          <w:rStyle w:val="ilfuvd"/>
          <w:rFonts w:asciiTheme="minorHAnsi" w:hAnsiTheme="minorHAnsi" w:cs="Arial"/>
          <w:color w:val="222222"/>
          <w:sz w:val="22"/>
          <w:szCs w:val="22"/>
        </w:rPr>
        <w:t xml:space="preserve">They must perform their official functions and duties, and exercise any discretionary powers, in ways that promote the </w:t>
      </w:r>
      <w:r w:rsidRPr="007229A0">
        <w:rPr>
          <w:rFonts w:asciiTheme="minorHAnsi" w:hAnsiTheme="minorHAnsi"/>
          <w:sz w:val="22"/>
          <w:szCs w:val="22"/>
        </w:rPr>
        <w:t>public interest that</w:t>
      </w:r>
      <w:r w:rsidRPr="007229A0">
        <w:rPr>
          <w:rStyle w:val="ilfuvd"/>
          <w:rFonts w:asciiTheme="minorHAnsi" w:hAnsiTheme="minorHAnsi" w:cs="Arial"/>
          <w:color w:val="222222"/>
          <w:sz w:val="22"/>
          <w:szCs w:val="22"/>
        </w:rPr>
        <w:t xml:space="preserve"> is applicable to their official functions.</w:t>
      </w:r>
    </w:p>
    <w:p w14:paraId="582AEEEC"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Sector Employment Principles and Standards</w:t>
      </w:r>
    </w:p>
    <w:p w14:paraId="021CB751" w14:textId="77777777" w:rsidR="007229A0" w:rsidRPr="007229A0" w:rsidRDefault="007229A0" w:rsidP="007229A0">
      <w:pPr>
        <w:pStyle w:val="BodyVPSC"/>
        <w:spacing w:after="40"/>
        <w:rPr>
          <w:rFonts w:asciiTheme="minorHAnsi" w:hAnsiTheme="minorHAnsi"/>
          <w:sz w:val="22"/>
          <w:szCs w:val="22"/>
        </w:rPr>
      </w:pPr>
      <w:r w:rsidRPr="007229A0">
        <w:rPr>
          <w:rFonts w:asciiTheme="minorHAnsi" w:hAnsiTheme="minorHAnsi"/>
          <w:sz w:val="22"/>
          <w:szCs w:val="22"/>
        </w:rPr>
        <w:t xml:space="preserve">Section 8 of the PAA outlines the public sector employment principles (the employment principles).  </w:t>
      </w:r>
    </w:p>
    <w:p w14:paraId="22B16144" w14:textId="77777777" w:rsidR="007229A0" w:rsidRPr="007229A0" w:rsidRDefault="007229A0" w:rsidP="007229A0">
      <w:pPr>
        <w:pStyle w:val="BodyVPSC"/>
        <w:spacing w:after="40"/>
        <w:rPr>
          <w:rFonts w:asciiTheme="minorHAnsi" w:hAnsiTheme="minorHAnsi"/>
          <w:sz w:val="22"/>
          <w:szCs w:val="22"/>
        </w:rPr>
      </w:pPr>
      <w:r w:rsidRPr="007229A0">
        <w:rPr>
          <w:rFonts w:asciiTheme="minorHAnsi" w:hAnsiTheme="minorHAnsi"/>
          <w:sz w:val="22"/>
          <w:szCs w:val="22"/>
        </w:rPr>
        <w:t xml:space="preserve">Section 62 of the PAA requires the VPSC to issue binding standards concerning application of the employment principles. The VPSC has issued six standards that define essential elements of the employment principles: </w:t>
      </w:r>
    </w:p>
    <w:p w14:paraId="09ED2215"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fair and reasonable treatment</w:t>
      </w:r>
    </w:p>
    <w:p w14:paraId="694148D5"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merit in employment</w:t>
      </w:r>
    </w:p>
    <w:p w14:paraId="0893FEFB"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equal employment opportunity</w:t>
      </w:r>
    </w:p>
    <w:p w14:paraId="30A9905E"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human rights</w:t>
      </w:r>
    </w:p>
    <w:p w14:paraId="74142DED"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 xml:space="preserve">reasonable avenue of redress; and </w:t>
      </w:r>
    </w:p>
    <w:p w14:paraId="4532DDC0" w14:textId="77777777" w:rsidR="007229A0" w:rsidRPr="007229A0" w:rsidRDefault="007229A0" w:rsidP="007229A0">
      <w:pPr>
        <w:pStyle w:val="BodyVPSC"/>
        <w:numPr>
          <w:ilvl w:val="0"/>
          <w:numId w:val="24"/>
        </w:numPr>
        <w:ind w:left="714" w:hanging="357"/>
        <w:rPr>
          <w:rFonts w:asciiTheme="minorHAnsi" w:hAnsiTheme="minorHAnsi"/>
          <w:sz w:val="22"/>
          <w:szCs w:val="22"/>
        </w:rPr>
      </w:pPr>
      <w:r w:rsidRPr="007229A0">
        <w:rPr>
          <w:rFonts w:asciiTheme="minorHAnsi" w:hAnsiTheme="minorHAnsi"/>
          <w:sz w:val="22"/>
          <w:szCs w:val="22"/>
        </w:rPr>
        <w:t>career public service.</w:t>
      </w:r>
    </w:p>
    <w:p w14:paraId="6B42828B" w14:textId="4AF0681B" w:rsidR="007229A0" w:rsidRPr="007229A0" w:rsidRDefault="007229A0" w:rsidP="007229A0">
      <w:pPr>
        <w:pStyle w:val="BodyVPSC"/>
        <w:rPr>
          <w:rFonts w:asciiTheme="minorHAnsi" w:hAnsiTheme="minorHAnsi"/>
          <w:sz w:val="28"/>
          <w:szCs w:val="28"/>
        </w:rPr>
      </w:pPr>
      <w:r w:rsidRPr="007229A0">
        <w:rPr>
          <w:rFonts w:asciiTheme="minorHAnsi" w:eastAsiaTheme="minorEastAsia" w:hAnsiTheme="minorHAnsi" w:cstheme="minorBidi"/>
          <w:color w:val="535353" w:themeColor="text2"/>
          <w:sz w:val="28"/>
          <w:szCs w:val="28"/>
        </w:rPr>
        <w:lastRenderedPageBreak/>
        <w:t>Equal opportunity and human rights</w:t>
      </w:r>
      <w:r>
        <w:rPr>
          <w:rFonts w:asciiTheme="minorHAnsi" w:hAnsiTheme="minorHAnsi"/>
          <w:sz w:val="28"/>
          <w:szCs w:val="28"/>
        </w:rPr>
        <w:br/>
      </w:r>
      <w:r w:rsidRPr="007229A0">
        <w:rPr>
          <w:rFonts w:asciiTheme="minorHAnsi" w:hAnsiTheme="minorHAnsi"/>
          <w:sz w:val="22"/>
          <w:szCs w:val="22"/>
        </w:rPr>
        <w:t>VPS employers must consider whether an adverse conduct record would impact on the preferred candidate’s ability to fulfil the inherent requirements of the position. An adverse conduct record does not automatically preclude a candidate from VPS employment.</w:t>
      </w:r>
      <w:r>
        <w:t xml:space="preserve"> </w:t>
      </w:r>
    </w:p>
    <w:p w14:paraId="71970135"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Natural justice</w:t>
      </w:r>
    </w:p>
    <w:p w14:paraId="4916520D"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The principles of natural justice and procedural fairness must be applied in the pre-employment screening process. Following the principles of natural justice and procedural fairness, it is important that the candidate is provided the opportunity to discuss the declared conduct with the prospective employer, and to respond to any information presented by a current or former employer.</w:t>
      </w:r>
    </w:p>
    <w:p w14:paraId="2FC6425C" w14:textId="3EA74854"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A preferred candidate with an adverse conduct history will not necessarily be precluded from employment within the VPS.</w:t>
      </w:r>
    </w:p>
    <w:p w14:paraId="63EC9FA8"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Risk-based approach</w:t>
      </w:r>
    </w:p>
    <w:p w14:paraId="07B5E0E1"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A risk-based approach to pre-employment screening ensures appropriate and proportionate screening according to the risk level and the inherent requirements of the position in question.</w:t>
      </w:r>
    </w:p>
    <w:p w14:paraId="6780B9FA"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Consistency with other policies and processes – an efficient public sector</w:t>
      </w:r>
    </w:p>
    <w:p w14:paraId="56D0D6AA"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Policy is to be implemented in a way that ensures consistency with other Government or VPS directives, such as the </w:t>
      </w:r>
      <w:r w:rsidRPr="007229A0">
        <w:rPr>
          <w:rFonts w:asciiTheme="minorHAnsi" w:hAnsiTheme="minorHAnsi"/>
          <w:b/>
          <w:bCs/>
          <w:iCs/>
          <w:sz w:val="22"/>
          <w:szCs w:val="22"/>
        </w:rPr>
        <w:t>Human Resources Systems Statement of Direction for the Victorian Public Service</w:t>
      </w:r>
      <w:r w:rsidRPr="007229A0">
        <w:rPr>
          <w:rFonts w:asciiTheme="minorHAnsi" w:hAnsiTheme="minorHAnsi"/>
          <w:sz w:val="22"/>
          <w:szCs w:val="22"/>
        </w:rPr>
        <w:t>, issued in 2016.</w:t>
      </w:r>
    </w:p>
    <w:p w14:paraId="24C82E99" w14:textId="7CF66F78"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Policy sets a minimum standard for pre-employment screening. Where departments have existing screening processes that are more comprehensive than those provided in the Policy, the Policy should be incorporated into, and not replace or duplicate, those processes.      </w:t>
      </w:r>
      <w:r>
        <w:rPr>
          <w:rFonts w:asciiTheme="minorHAnsi" w:hAnsiTheme="minorHAnsi"/>
          <w:sz w:val="22"/>
          <w:szCs w:val="22"/>
        </w:rPr>
        <w:br/>
      </w:r>
      <w:r>
        <w:rPr>
          <w:rFonts w:asciiTheme="minorHAnsi" w:hAnsiTheme="minorHAnsi"/>
          <w:sz w:val="22"/>
          <w:szCs w:val="22"/>
        </w:rPr>
        <w:br/>
      </w:r>
      <w:r w:rsidRPr="007229A0">
        <w:rPr>
          <w:rFonts w:asciiTheme="minorHAnsi" w:hAnsiTheme="minorHAnsi"/>
          <w:sz w:val="22"/>
          <w:szCs w:val="22"/>
        </w:rPr>
        <w:t xml:space="preserve">   </w:t>
      </w:r>
    </w:p>
    <w:p w14:paraId="3AF9EA78" w14:textId="77777777" w:rsidR="007229A0" w:rsidRPr="007229A0" w:rsidRDefault="007229A0" w:rsidP="007229A0"/>
    <w:p w14:paraId="2779C0F4" w14:textId="77777777" w:rsidR="007229A0" w:rsidRPr="007229A0" w:rsidRDefault="00B60A84" w:rsidP="007229A0">
      <w:pPr>
        <w:pStyle w:val="NLH1VPSC"/>
        <w:numPr>
          <w:ilvl w:val="0"/>
          <w:numId w:val="22"/>
        </w:numPr>
        <w:ind w:left="794" w:hanging="794"/>
        <w:rPr>
          <w:b/>
          <w:bCs/>
          <w:sz w:val="36"/>
          <w:szCs w:val="36"/>
        </w:rPr>
      </w:pPr>
      <w:r>
        <w:br w:type="page"/>
      </w:r>
      <w:r w:rsidR="007229A0" w:rsidRPr="007229A0">
        <w:rPr>
          <w:b/>
          <w:bCs/>
          <w:color w:val="00573F" w:themeColor="accent1"/>
          <w:sz w:val="36"/>
          <w:szCs w:val="36"/>
        </w:rPr>
        <w:lastRenderedPageBreak/>
        <w:t>Mandatory requirements</w:t>
      </w:r>
    </w:p>
    <w:p w14:paraId="04EC1DBF"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Employers</w:t>
      </w:r>
    </w:p>
    <w:p w14:paraId="713DD857" w14:textId="26D95453"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Employers must ensure that candidates complete the Form as part of the recruitment process. </w:t>
      </w:r>
      <w:r w:rsidR="00574DA6" w:rsidRPr="43E64461">
        <w:rPr>
          <w:rFonts w:asciiTheme="minorHAnsi" w:hAnsiTheme="minorHAnsi"/>
          <w:sz w:val="22"/>
          <w:szCs w:val="22"/>
        </w:rPr>
        <w:t>This includes candidates already working in the organisation or the VPS, including at</w:t>
      </w:r>
      <w:r w:rsidR="072A513A" w:rsidRPr="43E64461">
        <w:rPr>
          <w:rFonts w:asciiTheme="minorHAnsi" w:hAnsiTheme="minorHAnsi"/>
          <w:sz w:val="22"/>
          <w:szCs w:val="22"/>
        </w:rPr>
        <w:t xml:space="preserve"> VPS officer or</w:t>
      </w:r>
      <w:r w:rsidR="00574DA6" w:rsidRPr="43E64461">
        <w:rPr>
          <w:rFonts w:asciiTheme="minorHAnsi" w:hAnsiTheme="minorHAnsi"/>
          <w:sz w:val="22"/>
          <w:szCs w:val="22"/>
        </w:rPr>
        <w:t xml:space="preserve"> executive level, as well as external candidates.</w:t>
      </w:r>
      <w:r w:rsidRPr="43E64461">
        <w:rPr>
          <w:rFonts w:asciiTheme="minorHAnsi" w:hAnsiTheme="minorHAnsi"/>
          <w:sz w:val="22"/>
          <w:szCs w:val="22"/>
        </w:rPr>
        <w:t xml:space="preserve"> </w:t>
      </w:r>
      <w:r w:rsidRPr="007229A0">
        <w:rPr>
          <w:rFonts w:asciiTheme="minorHAnsi" w:hAnsiTheme="minorHAnsi"/>
          <w:sz w:val="22"/>
          <w:szCs w:val="22"/>
        </w:rPr>
        <w:t>The Form should generally only be required from an applicant after they have been identified as the preferred candidate. Forms provided at earlier stages in the recruitment process may be appropriate in some circumstances, such as for high risk roles. In general, departments may find it useful to require the Form at the same stage of the recruitment process as police checks.</w:t>
      </w:r>
    </w:p>
    <w:p w14:paraId="6CA16508"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Form consists of a declaration, or statutory declaration, and a consent form. </w:t>
      </w:r>
    </w:p>
    <w:p w14:paraId="06ADE59C"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Form provides information about a candidate’s history of conduct in employment. A declaration of prior misconduct or open investigation does not necessarily rule out the preferred candidate from employment. Employers should refer to </w:t>
      </w:r>
      <w:hyperlink r:id="rId13" w:history="1">
        <w:r w:rsidRPr="007229A0">
          <w:rPr>
            <w:rStyle w:val="Hyperlink"/>
            <w:rFonts w:asciiTheme="minorHAnsi" w:hAnsiTheme="minorHAnsi"/>
            <w:iCs/>
            <w:sz w:val="22"/>
            <w:szCs w:val="22"/>
          </w:rPr>
          <w:t>A Guide to Implementing Pre-employment Screening Policy</w:t>
        </w:r>
      </w:hyperlink>
      <w:r w:rsidRPr="007229A0">
        <w:rPr>
          <w:rFonts w:asciiTheme="minorHAnsi" w:hAnsiTheme="minorHAnsi"/>
          <w:i/>
          <w:sz w:val="22"/>
          <w:szCs w:val="22"/>
        </w:rPr>
        <w:t xml:space="preserve"> </w:t>
      </w:r>
      <w:r w:rsidRPr="007229A0">
        <w:rPr>
          <w:rFonts w:asciiTheme="minorHAnsi" w:hAnsiTheme="minorHAnsi"/>
          <w:sz w:val="22"/>
          <w:szCs w:val="22"/>
        </w:rPr>
        <w:t>for assistance in determining the relevance of declared information to the inherent requirements of the position.</w:t>
      </w:r>
    </w:p>
    <w:p w14:paraId="584E5555"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consent form provides permission from the prospective employee to enable the employer to verify the accuracy of declarations made with current and previous employers. </w:t>
      </w:r>
      <w:hyperlink r:id="rId14" w:history="1">
        <w:r w:rsidRPr="007229A0">
          <w:rPr>
            <w:rStyle w:val="Hyperlink"/>
            <w:rFonts w:asciiTheme="minorHAnsi" w:hAnsiTheme="minorHAnsi"/>
            <w:iCs/>
            <w:sz w:val="22"/>
            <w:szCs w:val="22"/>
          </w:rPr>
          <w:t>A Guide to Implementing the Victorian Public Service Pre-employment Screening Policy</w:t>
        </w:r>
      </w:hyperlink>
      <w:r w:rsidRPr="007229A0">
        <w:rPr>
          <w:rFonts w:asciiTheme="minorHAnsi" w:hAnsiTheme="minorHAnsi"/>
          <w:b/>
          <w:bCs/>
          <w:iCs/>
          <w:sz w:val="22"/>
          <w:szCs w:val="22"/>
        </w:rPr>
        <w:t xml:space="preserve"> </w:t>
      </w:r>
      <w:r w:rsidRPr="007229A0">
        <w:rPr>
          <w:rFonts w:asciiTheme="minorHAnsi" w:hAnsiTheme="minorHAnsi"/>
          <w:sz w:val="22"/>
          <w:szCs w:val="22"/>
        </w:rPr>
        <w:t>sets out a risk-based approach to validating information provided by candidates in their application for employment.</w:t>
      </w:r>
    </w:p>
    <w:p w14:paraId="502C788B"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Candidates</w:t>
      </w:r>
    </w:p>
    <w:p w14:paraId="55193E18"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Candidates must complete the Form as part of the recruitment process. Offers of employment should be made conditional on the successful outcome of any pre-employment screening.</w:t>
      </w:r>
    </w:p>
    <w:p w14:paraId="446FF124" w14:textId="77777777"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w:t>
      </w:r>
      <w:r w:rsidRPr="007229A0">
        <w:rPr>
          <w:rFonts w:asciiTheme="minorHAnsi" w:hAnsiTheme="minorHAnsi"/>
          <w:b/>
          <w:bCs/>
          <w:iCs/>
          <w:sz w:val="22"/>
          <w:szCs w:val="22"/>
        </w:rPr>
        <w:t>Oaths and Affirmations Act 2018</w:t>
      </w:r>
      <w:r w:rsidRPr="007229A0">
        <w:rPr>
          <w:rFonts w:asciiTheme="minorHAnsi" w:hAnsiTheme="minorHAnsi"/>
          <w:sz w:val="22"/>
          <w:szCs w:val="22"/>
        </w:rPr>
        <w:t xml:space="preserve"> (Vic) provides that it is a criminal offence for a person to make a statutory declaration they know to be false. Under the PAA, knowingly providing false information in a declaration may be serious misconduct.</w:t>
      </w:r>
    </w:p>
    <w:p w14:paraId="0987DFC4" w14:textId="1582C46D" w:rsidR="00B60A84" w:rsidRDefault="00B60A84">
      <w:pPr>
        <w:spacing w:after="0" w:line="240" w:lineRule="auto"/>
      </w:pPr>
    </w:p>
    <w:sectPr w:rsidR="00B60A84" w:rsidSect="006B376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27CF4" w14:textId="77777777" w:rsidR="00A30734" w:rsidRDefault="00A30734" w:rsidP="00B60A84">
      <w:pPr>
        <w:spacing w:after="0" w:line="240" w:lineRule="auto"/>
      </w:pPr>
      <w:r>
        <w:separator/>
      </w:r>
    </w:p>
  </w:endnote>
  <w:endnote w:type="continuationSeparator" w:id="0">
    <w:p w14:paraId="0D8D9794" w14:textId="77777777" w:rsidR="00A30734" w:rsidRDefault="00A30734" w:rsidP="00B60A84">
      <w:pPr>
        <w:spacing w:after="0" w:line="240" w:lineRule="auto"/>
      </w:pPr>
      <w:r>
        <w:continuationSeparator/>
      </w:r>
    </w:p>
  </w:endnote>
  <w:endnote w:type="continuationNotice" w:id="1">
    <w:p w14:paraId="796F8C76" w14:textId="77777777" w:rsidR="00A30734" w:rsidRDefault="00A30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2538" w14:textId="77777777" w:rsidR="00230097" w:rsidRDefault="00230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3AA8" w14:textId="142FACA0" w:rsidR="00EA2651" w:rsidRDefault="001C716B">
    <w:pPr>
      <w:pStyle w:val="Footer"/>
      <w:jc w:val="right"/>
    </w:pPr>
    <w:r>
      <w:rPr>
        <w:noProof/>
      </w:rPr>
      <mc:AlternateContent>
        <mc:Choice Requires="wps">
          <w:drawing>
            <wp:anchor distT="0" distB="0" distL="114300" distR="114300" simplePos="0" relativeHeight="251659264" behindDoc="0" locked="0" layoutInCell="0" allowOverlap="1" wp14:anchorId="03FE44A7" wp14:editId="39A3431A">
              <wp:simplePos x="0" y="0"/>
              <wp:positionH relativeFrom="page">
                <wp:posOffset>0</wp:posOffset>
              </wp:positionH>
              <wp:positionV relativeFrom="page">
                <wp:posOffset>10234930</wp:posOffset>
              </wp:positionV>
              <wp:extent cx="7560310" cy="266700"/>
              <wp:effectExtent l="0" t="0" r="0" b="0"/>
              <wp:wrapNone/>
              <wp:docPr id="2" name="MSIPCMe75e46dc8b6fbb786468d71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0EFA1" w14:textId="3568973D"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FE44A7" id="_x0000_t202" coordsize="21600,21600" o:spt="202" path="m,l,21600r21600,l21600,xe">
              <v:stroke joinstyle="miter"/>
              <v:path gradientshapeok="t" o:connecttype="rect"/>
            </v:shapetype>
            <v:shape id="MSIPCMe75e46dc8b6fbb786468d717"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19swIAAEgFAAAOAAAAZHJzL2Uyb0RvYy54bWysVN1v0zAQf0fif7D8wBMsSdemXVk6lU6F&#10;Sd1WqUN7dhyniZT4PNtdUhD/O2cn6WDwhHix78v38bs7X161dUWehTYlyIRGZyElQnLISrlP6NeH&#10;9YcZJcYymbEKpEjoURh6tXj75rJRczGCAqpMaIJOpJk3KqGFtWoeBIYXombmDJSQqMxB18wiq/dB&#10;plmD3usqGIVhHDSgM6WBC2NQet0p6cL7z3PB7X2eG2FJlVDMzfpT+zN1Z7C4ZPO9ZqooeZ8G+4cs&#10;alZKDHpydc0sIwdd/uGqLrkGA7k941AHkOclF74GrCYKX1WzK5gSvhYEx6gTTOb/ueV3z1tNyiyh&#10;I0okq7FFt7ub7epWTCdiHGd8lsZ5mk5n8TieZdNoSkkmDEcEv797OoD9+IWZYgWZ6Lj5h2gUT+Pw&#10;fBKev+8NRLkvbK+ejXFEesVjmdmil08uJif5tmJc1EIObzqTNYAVuqN7BzcyE23voLu2uqyZPv5m&#10;tcMZwOHs7aL+7QOoXhKeAm9EPsRE4Q83G40yc4RopxAk236CFmd8kBsUupa3ua7djc0kqMcpO54m&#10;S7SWcBROJ4hJhCqOulEcT0M/esHLa6WN/SygJo5IqMas/UCx542xmAmaDiYumIR1WVV+eitJmoTG&#10;CLl/cNLgi0riQ1dDl6ujbJu2fWEpZEesS0O3FUbxdYnBN8zYLdO4Bpgvrra9xyOvAINAT1FSgP72&#10;N7mzx+lELSUNrlVCzdOBaUFJdSNxbkeTcYi1E+s5JLQnLqLxGJl0kMpDvQJc2Qh/D8U96WxtNZC5&#10;hvoRV3/pwqGKSY5BE5oO5Moihwr8OrhYLj2NK6eY3cid4s61w9Fh+tA+Mq164C227A6GzWPzV/h3&#10;tl0HlgcLeemb45Dt4OwBx3X1Peu/Fvcf/Mp7q5cPcPET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I2utfbMCAABIBQAA&#10;DgAAAAAAAAAAAAAAAAAuAgAAZHJzL2Uyb0RvYy54bWxQSwECLQAUAAYACAAAACEAYBHGJt4AAAAL&#10;AQAADwAAAAAAAAAAAAAAAAANBQAAZHJzL2Rvd25yZXYueG1sUEsFBgAAAAAEAAQA8wAAABgGAAAA&#10;AA==&#10;" o:allowincell="f" filled="f" stroked="f" strokeweight=".5pt">
              <v:fill o:detectmouseclick="t"/>
              <v:textbox inset="20pt,0,,0">
                <w:txbxContent>
                  <w:p w14:paraId="6EA0EFA1" w14:textId="3568973D"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v:textbox>
              <w10:wrap anchorx="page" anchory="page"/>
            </v:shape>
          </w:pict>
        </mc:Fallback>
      </mc:AlternateContent>
    </w:r>
    <w:sdt>
      <w:sdtPr>
        <w:id w:val="1165512704"/>
        <w:docPartObj>
          <w:docPartGallery w:val="Page Numbers (Bottom of Page)"/>
          <w:docPartUnique/>
        </w:docPartObj>
      </w:sdtPr>
      <w:sdtEndPr>
        <w:rPr>
          <w:noProof/>
        </w:rPr>
      </w:sdtEndPr>
      <w:sdtContent>
        <w:r w:rsidR="00EA2651">
          <w:fldChar w:fldCharType="begin"/>
        </w:r>
        <w:r w:rsidR="00EA2651">
          <w:instrText xml:space="preserve"> PAGE   \* MERGEFORMAT </w:instrText>
        </w:r>
        <w:r w:rsidR="00EA2651">
          <w:fldChar w:fldCharType="separate"/>
        </w:r>
        <w:r w:rsidR="00EA2651">
          <w:rPr>
            <w:noProof/>
          </w:rPr>
          <w:t>2</w:t>
        </w:r>
        <w:r w:rsidR="00EA2651">
          <w:rPr>
            <w:noProof/>
          </w:rPr>
          <w:fldChar w:fldCharType="end"/>
        </w:r>
      </w:sdtContent>
    </w:sdt>
  </w:p>
  <w:p w14:paraId="476D9EBF" w14:textId="0A50D51C" w:rsidR="00A775A4" w:rsidRDefault="00A775A4" w:rsidP="00D61DA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C8EB" w14:textId="3039C235" w:rsidR="00EA2651" w:rsidRDefault="001C716B">
    <w:pPr>
      <w:pStyle w:val="Footer"/>
      <w:jc w:val="right"/>
    </w:pPr>
    <w:r>
      <w:rPr>
        <w:noProof/>
      </w:rPr>
      <mc:AlternateContent>
        <mc:Choice Requires="wps">
          <w:drawing>
            <wp:anchor distT="0" distB="0" distL="114300" distR="114300" simplePos="0" relativeHeight="251660288" behindDoc="0" locked="0" layoutInCell="0" allowOverlap="1" wp14:anchorId="32DC27F2" wp14:editId="6FD0DC6C">
              <wp:simplePos x="0" y="0"/>
              <wp:positionH relativeFrom="page">
                <wp:posOffset>0</wp:posOffset>
              </wp:positionH>
              <wp:positionV relativeFrom="page">
                <wp:posOffset>10234930</wp:posOffset>
              </wp:positionV>
              <wp:extent cx="7560310" cy="266700"/>
              <wp:effectExtent l="0" t="0" r="0" b="0"/>
              <wp:wrapNone/>
              <wp:docPr id="3" name="MSIPCMf1314fe4b3528158c825bdc6"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77631" w14:textId="7EFE4B32"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C27F2" id="_x0000_t202" coordsize="21600,21600" o:spt="202" path="m,l,21600r21600,l21600,xe">
              <v:stroke joinstyle="miter"/>
              <v:path gradientshapeok="t" o:connecttype="rect"/>
            </v:shapetype>
            <v:shape id="MSIPCMf1314fe4b3528158c825bdc6" o:spid="_x0000_s1027"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yTtQIAAFEFAAAOAAAAZHJzL2Uyb0RvYy54bWysVFtv2jAUfp+0/2D5YU9rkwChlDVUjIqt&#10;Em2R6NRn4zgkUuLj2qaETfvvO3YcOnV7mvaSnJvP5TuXq+u2qcmL0KYCmdHkPKZESA55JXcZ/fa4&#10;PJtQYiyTOatBiowehaHXs/fvrg5qKgZQQp0LTdCJNNODymhprZpGkeGlaJg5ByUkKgvQDbPI6l2U&#10;a3ZA700dDeJ4HB1A50oDF8ag9KZT0pn3XxSC24eiMMKSOqOYm/Vf7b9b941mV2y600yVFQ9psH/I&#10;omGVxKAnVzfMMrLX1R+umoprMFDYcw5NBEVRceFrwGqS+E01m5Ip4WtBcIw6wWT+n1t+/7LWpMoz&#10;OqREsgZbdLe5XS/uimSYjAox2g7TwSRJJ3wySLc5H1OSC8MRwR8fnvdgP31lplxALjpuepYMxhfj&#10;eJjGw4/BQFS70gb1ZIQjEhRPVW7LIE8v05N8XTMuGiH7N53JEsAK3dHBwa3MRRscBKNKG7tmu5BN&#10;sNvgFOB4BsskSB9BBUl8Cr0SRR8VhT/ddByUmSJIG4Uw2fYztDjlvdyg0DW9LXTj/thOgnqcs+Np&#10;tkRrCUfhRYqoJKjiqBuMxxexH77o9bXC3L8IaIgjMqoxaz9S7GVlLGaCpr2JCyZhWdW1n99akkNG&#10;xwi6f3DS4Ita4kNXQ5ero2y7bX3HT3VsIT9ieRq69TCKLx2QK+bA1LgPmDbuuH3AT1EDxoJAUVKC&#10;/v43ubPHMUUtJQfcr4ya5z3TgpL6VuIAD9JRjBAQ6zkktCcuk9EImW0vlftmAbi7CZ4RxT3pbG3d&#10;k4WG5glvwNyFQxWTHINmdNuTC4scKvCGcDGfexp3TzG7khvFnWsHp4P2sX1iWgX8LXbuHvoVZNM3&#10;behsu0bM9xaKyvfIAdzBGXDHvfWtCzfGHYbfeW/1eglnv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2uPyTtQIAAFE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7A477631" w14:textId="7EFE4B32"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v:textbox>
              <w10:wrap anchorx="page" anchory="page"/>
            </v:shape>
          </w:pict>
        </mc:Fallback>
      </mc:AlternateContent>
    </w:r>
    <w:sdt>
      <w:sdtPr>
        <w:id w:val="-422190652"/>
        <w:docPartObj>
          <w:docPartGallery w:val="Page Numbers (Bottom of Page)"/>
          <w:docPartUnique/>
        </w:docPartObj>
      </w:sdtPr>
      <w:sdtEndPr>
        <w:rPr>
          <w:noProof/>
        </w:rPr>
      </w:sdtEndPr>
      <w:sdtContent>
        <w:r w:rsidR="00EA2651">
          <w:fldChar w:fldCharType="begin"/>
        </w:r>
        <w:r w:rsidR="00EA2651">
          <w:instrText xml:space="preserve"> PAGE   \* MERGEFORMAT </w:instrText>
        </w:r>
        <w:r w:rsidR="00EA2651">
          <w:fldChar w:fldCharType="separate"/>
        </w:r>
        <w:r w:rsidR="00EA2651">
          <w:rPr>
            <w:noProof/>
          </w:rPr>
          <w:t>2</w:t>
        </w:r>
        <w:r w:rsidR="00EA2651">
          <w:rPr>
            <w:noProof/>
          </w:rPr>
          <w:fldChar w:fldCharType="end"/>
        </w:r>
      </w:sdtContent>
    </w:sdt>
  </w:p>
  <w:p w14:paraId="0CDD2167" w14:textId="51C58BD8" w:rsidR="009A5AE6" w:rsidRDefault="009A5AE6" w:rsidP="009A5A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C621B" w14:textId="77777777" w:rsidR="00A30734" w:rsidRDefault="00A30734" w:rsidP="00B60A84">
      <w:pPr>
        <w:spacing w:after="0" w:line="240" w:lineRule="auto"/>
      </w:pPr>
      <w:r>
        <w:separator/>
      </w:r>
    </w:p>
  </w:footnote>
  <w:footnote w:type="continuationSeparator" w:id="0">
    <w:p w14:paraId="7FA75ADA" w14:textId="77777777" w:rsidR="00A30734" w:rsidRDefault="00A30734" w:rsidP="00B60A84">
      <w:pPr>
        <w:spacing w:after="0" w:line="240" w:lineRule="auto"/>
      </w:pPr>
      <w:r>
        <w:continuationSeparator/>
      </w:r>
    </w:p>
  </w:footnote>
  <w:footnote w:type="continuationNotice" w:id="1">
    <w:p w14:paraId="2EF2CEFB" w14:textId="77777777" w:rsidR="00A30734" w:rsidRDefault="00A30734">
      <w:pPr>
        <w:spacing w:after="0" w:line="240" w:lineRule="auto"/>
      </w:pPr>
    </w:p>
  </w:footnote>
  <w:footnote w:id="2">
    <w:p w14:paraId="71B3A4C2" w14:textId="77777777" w:rsidR="007229A0" w:rsidRPr="007229A0" w:rsidRDefault="007229A0" w:rsidP="007229A0">
      <w:pPr>
        <w:pStyle w:val="BodyVPSC"/>
        <w:rPr>
          <w:rFonts w:asciiTheme="minorHAnsi" w:hAnsiTheme="minorHAnsi"/>
          <w:sz w:val="18"/>
          <w:szCs w:val="18"/>
        </w:rPr>
      </w:pPr>
      <w:r w:rsidRPr="007229A0">
        <w:rPr>
          <w:rStyle w:val="FootnoteReference"/>
          <w:rFonts w:asciiTheme="minorHAnsi" w:hAnsiTheme="minorHAnsi"/>
          <w:sz w:val="18"/>
          <w:szCs w:val="18"/>
        </w:rPr>
        <w:footnoteRef/>
      </w:r>
      <w:r w:rsidRPr="007229A0">
        <w:rPr>
          <w:rFonts w:asciiTheme="minorHAnsi" w:hAnsiTheme="minorHAnsi"/>
          <w:sz w:val="18"/>
          <w:szCs w:val="18"/>
        </w:rPr>
        <w:t xml:space="preserve"> Misconduct is defined in the </w:t>
      </w:r>
      <w:r w:rsidRPr="007229A0">
        <w:rPr>
          <w:rFonts w:asciiTheme="minorHAnsi" w:hAnsiTheme="minorHAnsi"/>
          <w:b/>
          <w:bCs/>
          <w:iCs/>
          <w:sz w:val="18"/>
          <w:szCs w:val="18"/>
        </w:rPr>
        <w:t>Public Administration Act 2004</w:t>
      </w:r>
      <w:r w:rsidRPr="007229A0">
        <w:rPr>
          <w:rFonts w:asciiTheme="minorHAnsi" w:hAnsiTheme="minorHAnsi"/>
          <w:sz w:val="18"/>
          <w:szCs w:val="18"/>
        </w:rPr>
        <w:t xml:space="preserve"> as including:</w:t>
      </w:r>
    </w:p>
    <w:p w14:paraId="13C49DD7"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contravention of a provision of this Act, the regulations or a binding code of conduct;</w:t>
      </w:r>
    </w:p>
    <w:p w14:paraId="78E80237"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improper conduct in an official capacity;</w:t>
      </w:r>
    </w:p>
    <w:p w14:paraId="77A9F243"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 xml:space="preserve">a contravention, without reasonable excuse, of a lawful direction given to the employee as an employee by a person authorised (whether under this Act or otherwise) to give the direction; </w:t>
      </w:r>
    </w:p>
    <w:p w14:paraId="4DBFDEF6"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a refusal by an employee to perform duties assigned under Part 3 (public service employment) or Part 7A (emergency situations);</w:t>
      </w:r>
    </w:p>
    <w:p w14:paraId="54D96F7D"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 xml:space="preserve">an employee making improper use of his or her position for personal gain; </w:t>
      </w:r>
    </w:p>
    <w:p w14:paraId="3496EC5F" w14:textId="77777777" w:rsidR="007229A0" w:rsidRPr="007229A0" w:rsidRDefault="007229A0" w:rsidP="007229A0">
      <w:pPr>
        <w:pStyle w:val="BodyVPSC"/>
        <w:numPr>
          <w:ilvl w:val="0"/>
          <w:numId w:val="23"/>
        </w:numPr>
        <w:rPr>
          <w:rFonts w:asciiTheme="minorHAnsi" w:hAnsiTheme="minorHAnsi"/>
          <w:sz w:val="18"/>
          <w:szCs w:val="18"/>
        </w:rPr>
      </w:pPr>
      <w:r w:rsidRPr="007229A0">
        <w:rPr>
          <w:rFonts w:asciiTheme="minorHAnsi" w:hAnsiTheme="minorHAnsi"/>
          <w:sz w:val="18"/>
          <w:szCs w:val="18"/>
        </w:rPr>
        <w:t>an employee making improper use of information acquired by him or her by virtue of his or her position to gain personally or for anyone else financial or other benefits or to cause detriment to the public service or the public sector.</w:t>
      </w:r>
    </w:p>
    <w:p w14:paraId="1CF6C9D0" w14:textId="77777777" w:rsidR="007229A0" w:rsidRPr="007433A3" w:rsidRDefault="007229A0" w:rsidP="007229A0">
      <w:pPr>
        <w:pStyle w:val="FootnoteText"/>
        <w:rPr>
          <w:lang w:val="en-AU"/>
        </w:rPr>
      </w:pPr>
    </w:p>
  </w:footnote>
  <w:footnote w:id="3">
    <w:p w14:paraId="42A8E71C" w14:textId="77777777" w:rsidR="007229A0" w:rsidRPr="007229A0" w:rsidRDefault="007229A0" w:rsidP="007229A0">
      <w:pPr>
        <w:pStyle w:val="FootnoteText"/>
        <w:rPr>
          <w:sz w:val="18"/>
          <w:szCs w:val="18"/>
        </w:rPr>
      </w:pPr>
      <w:r w:rsidRPr="007229A0">
        <w:rPr>
          <w:rStyle w:val="FootnoteReference"/>
          <w:sz w:val="18"/>
          <w:szCs w:val="18"/>
        </w:rPr>
        <w:footnoteRef/>
      </w:r>
      <w:r w:rsidRPr="007229A0">
        <w:rPr>
          <w:sz w:val="18"/>
          <w:szCs w:val="18"/>
        </w:rPr>
        <w:t xml:space="preserve"> </w:t>
      </w:r>
      <w:r w:rsidRPr="007229A0">
        <w:rPr>
          <w:sz w:val="18"/>
          <w:szCs w:val="18"/>
          <w:lang w:val="en-AU"/>
        </w:rPr>
        <w:t xml:space="preserve">A public service body is a Department, an Administrative Office established under section 11 of the </w:t>
      </w:r>
      <w:r w:rsidRPr="007229A0">
        <w:rPr>
          <w:b/>
          <w:bCs/>
          <w:iCs/>
          <w:sz w:val="18"/>
          <w:szCs w:val="18"/>
          <w:lang w:val="en-AU"/>
        </w:rPr>
        <w:t>Public Administration Act 2004</w:t>
      </w:r>
      <w:r w:rsidRPr="007229A0">
        <w:rPr>
          <w:b/>
          <w:bCs/>
          <w:iCs/>
          <w:sz w:val="18"/>
          <w:szCs w:val="18"/>
        </w:rPr>
        <w:t xml:space="preserve"> </w:t>
      </w:r>
      <w:r w:rsidRPr="007229A0">
        <w:rPr>
          <w:sz w:val="18"/>
          <w:szCs w:val="18"/>
        </w:rPr>
        <w:t>and the Victorian Public Sector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6607" w14:textId="77777777" w:rsidR="00230097" w:rsidRDefault="00230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047F" w14:textId="03EEE35E" w:rsidR="009A5AE6" w:rsidRDefault="43E64461">
    <w:pPr>
      <w:pStyle w:val="Header"/>
    </w:pPr>
    <w:r>
      <w:rPr>
        <w:noProof/>
      </w:rPr>
      <w:drawing>
        <wp:inline distT="0" distB="0" distL="0" distR="0" wp14:anchorId="3B508B95" wp14:editId="2FB87584">
          <wp:extent cx="1230428" cy="432000"/>
          <wp:effectExtent l="0" t="0" r="8255" b="6350"/>
          <wp:docPr id="118" name="Picture 1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pic:nvPicPr>
                <pic:blipFill>
                  <a:blip r:embed="rId1">
                    <a:extLst>
                      <a:ext uri="{28A0092B-C50C-407E-A947-70E740481C1C}">
                        <a14:useLocalDpi xmlns:a14="http://schemas.microsoft.com/office/drawing/2010/main" val="0"/>
                      </a:ext>
                    </a:extLst>
                  </a:blip>
                  <a:stretch>
                    <a:fillRect/>
                  </a:stretch>
                </pic:blipFill>
                <pic:spPr>
                  <a:xfrm>
                    <a:off x="0" y="0"/>
                    <a:ext cx="1230428" cy="432000"/>
                  </a:xfrm>
                  <a:prstGeom prst="rect">
                    <a:avLst/>
                  </a:prstGeom>
                </pic:spPr>
              </pic:pic>
            </a:graphicData>
          </a:graphic>
        </wp:inline>
      </w:drawing>
    </w:r>
  </w:p>
  <w:p w14:paraId="7E955261" w14:textId="77777777" w:rsidR="00384A0A" w:rsidRDefault="00384A0A">
    <w:pPr>
      <w:pStyle w:val="Header"/>
    </w:pPr>
  </w:p>
  <w:p w14:paraId="605D233C" w14:textId="77777777" w:rsidR="009A5AE6" w:rsidRDefault="009A5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0357" w14:textId="3ECD5E4A" w:rsidR="009D6A9B" w:rsidRPr="009D6A9B" w:rsidRDefault="43E64461" w:rsidP="009D6A9B">
    <w:pPr>
      <w:pStyle w:val="Header"/>
    </w:pPr>
    <w:r>
      <w:rPr>
        <w:noProof/>
      </w:rPr>
      <w:drawing>
        <wp:inline distT="0" distB="0" distL="0" distR="0" wp14:anchorId="67A7051D" wp14:editId="20BC3067">
          <wp:extent cx="1230429" cy="432000"/>
          <wp:effectExtent l="0" t="0" r="8255"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0429"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811F6"/>
    <w:multiLevelType w:val="hybridMultilevel"/>
    <w:tmpl w:val="2E0AB762"/>
    <w:lvl w:ilvl="0" w:tplc="AF6A20F2">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D06CF"/>
    <w:multiLevelType w:val="hybridMultilevel"/>
    <w:tmpl w:val="D8ACB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2C2D"/>
    <w:multiLevelType w:val="hybridMultilevel"/>
    <w:tmpl w:val="817E408C"/>
    <w:lvl w:ilvl="0" w:tplc="BAB89B3A">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D65C8"/>
    <w:multiLevelType w:val="hybridMultilevel"/>
    <w:tmpl w:val="0502A070"/>
    <w:lvl w:ilvl="0" w:tplc="9B42AD80">
      <w:start w:val="1"/>
      <w:numFmt w:val="decimal"/>
      <w:lvlText w:val="%1."/>
      <w:lvlJc w:val="left"/>
      <w:pPr>
        <w:ind w:left="0" w:firstLine="0"/>
      </w:pPr>
      <w:rPr>
        <w:rFonts w:hint="default"/>
      </w:rPr>
    </w:lvl>
    <w:lvl w:ilvl="1" w:tplc="A5B82D4C">
      <w:start w:val="1"/>
      <w:numFmt w:val="lowerLetter"/>
      <w:pStyle w:val="Listing2"/>
      <w:lvlText w:val="%2."/>
      <w:lvlJc w:val="left"/>
      <w:pPr>
        <w:ind w:left="567" w:firstLine="0"/>
      </w:pPr>
      <w:rPr>
        <w:rFonts w:hint="default"/>
      </w:rPr>
    </w:lvl>
    <w:lvl w:ilvl="2" w:tplc="3056E1FE">
      <w:start w:val="1"/>
      <w:numFmt w:val="lowerRoman"/>
      <w:lvlText w:val="%3)"/>
      <w:lvlJc w:val="left"/>
      <w:pPr>
        <w:ind w:left="1080" w:hanging="360"/>
      </w:pPr>
      <w:rPr>
        <w:rFonts w:hint="default"/>
      </w:rPr>
    </w:lvl>
    <w:lvl w:ilvl="3" w:tplc="90B890F4">
      <w:start w:val="1"/>
      <w:numFmt w:val="decimal"/>
      <w:lvlText w:val="(%4)"/>
      <w:lvlJc w:val="left"/>
      <w:pPr>
        <w:ind w:left="1440" w:hanging="360"/>
      </w:pPr>
      <w:rPr>
        <w:rFonts w:hint="default"/>
      </w:rPr>
    </w:lvl>
    <w:lvl w:ilvl="4" w:tplc="5688086E">
      <w:start w:val="1"/>
      <w:numFmt w:val="lowerLetter"/>
      <w:lvlText w:val="(%5)"/>
      <w:lvlJc w:val="left"/>
      <w:pPr>
        <w:ind w:left="1800" w:hanging="360"/>
      </w:pPr>
      <w:rPr>
        <w:rFonts w:hint="default"/>
      </w:rPr>
    </w:lvl>
    <w:lvl w:ilvl="5" w:tplc="DA8A7FB4">
      <w:start w:val="1"/>
      <w:numFmt w:val="lowerRoman"/>
      <w:lvlText w:val="(%6)"/>
      <w:lvlJc w:val="left"/>
      <w:pPr>
        <w:ind w:left="2160" w:hanging="360"/>
      </w:pPr>
      <w:rPr>
        <w:rFonts w:hint="default"/>
      </w:rPr>
    </w:lvl>
    <w:lvl w:ilvl="6" w:tplc="C3B6A9DC">
      <w:start w:val="1"/>
      <w:numFmt w:val="decimal"/>
      <w:lvlText w:val="%7."/>
      <w:lvlJc w:val="left"/>
      <w:pPr>
        <w:ind w:left="2520" w:hanging="360"/>
      </w:pPr>
      <w:rPr>
        <w:rFonts w:hint="default"/>
      </w:rPr>
    </w:lvl>
    <w:lvl w:ilvl="7" w:tplc="E2C67B0C">
      <w:start w:val="1"/>
      <w:numFmt w:val="lowerLetter"/>
      <w:lvlText w:val="%8."/>
      <w:lvlJc w:val="left"/>
      <w:pPr>
        <w:ind w:left="2880" w:hanging="360"/>
      </w:pPr>
      <w:rPr>
        <w:rFonts w:hint="default"/>
      </w:rPr>
    </w:lvl>
    <w:lvl w:ilvl="8" w:tplc="01A8E2CC">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F2762126"/>
    <w:lvl w:ilvl="0" w:tplc="38A216E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5DC4ECC"/>
    <w:multiLevelType w:val="hybridMultilevel"/>
    <w:tmpl w:val="55087936"/>
    <w:lvl w:ilvl="0" w:tplc="89922D18">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4F18AF"/>
    <w:multiLevelType w:val="hybridMultilevel"/>
    <w:tmpl w:val="213C6528"/>
    <w:lvl w:ilvl="0" w:tplc="50809CF6">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hybridMultilevel"/>
    <w:tmpl w:val="E27EA948"/>
    <w:lvl w:ilvl="0" w:tplc="8FBA6AB2">
      <w:start w:val="1"/>
      <w:numFmt w:val="decimal"/>
      <w:pStyle w:val="NumberedList1"/>
      <w:lvlText w:val="%1."/>
      <w:lvlJc w:val="left"/>
      <w:pPr>
        <w:ind w:left="0" w:firstLine="0"/>
      </w:pPr>
      <w:rPr>
        <w:rFonts w:hint="default"/>
      </w:rPr>
    </w:lvl>
    <w:lvl w:ilvl="1" w:tplc="B91CE27C">
      <w:start w:val="1"/>
      <w:numFmt w:val="lowerLetter"/>
      <w:lvlText w:val="%2)"/>
      <w:lvlJc w:val="left"/>
      <w:pPr>
        <w:ind w:left="720" w:hanging="360"/>
      </w:pPr>
      <w:rPr>
        <w:rFonts w:hint="default"/>
      </w:rPr>
    </w:lvl>
    <w:lvl w:ilvl="2" w:tplc="386AC89C">
      <w:start w:val="1"/>
      <w:numFmt w:val="lowerRoman"/>
      <w:lvlText w:val="%3)"/>
      <w:lvlJc w:val="left"/>
      <w:pPr>
        <w:ind w:left="1080" w:hanging="360"/>
      </w:pPr>
      <w:rPr>
        <w:rFonts w:hint="default"/>
      </w:rPr>
    </w:lvl>
    <w:lvl w:ilvl="3" w:tplc="B99284D8">
      <w:start w:val="1"/>
      <w:numFmt w:val="decimal"/>
      <w:lvlText w:val="(%4)"/>
      <w:lvlJc w:val="left"/>
      <w:pPr>
        <w:ind w:left="1440" w:hanging="360"/>
      </w:pPr>
      <w:rPr>
        <w:rFonts w:hint="default"/>
      </w:rPr>
    </w:lvl>
    <w:lvl w:ilvl="4" w:tplc="E9D40B98">
      <w:start w:val="1"/>
      <w:numFmt w:val="lowerLetter"/>
      <w:lvlText w:val="(%5)"/>
      <w:lvlJc w:val="left"/>
      <w:pPr>
        <w:ind w:left="1800" w:hanging="360"/>
      </w:pPr>
      <w:rPr>
        <w:rFonts w:hint="default"/>
      </w:rPr>
    </w:lvl>
    <w:lvl w:ilvl="5" w:tplc="082AA8F6">
      <w:start w:val="1"/>
      <w:numFmt w:val="lowerRoman"/>
      <w:lvlText w:val="(%6)"/>
      <w:lvlJc w:val="left"/>
      <w:pPr>
        <w:ind w:left="2160" w:hanging="360"/>
      </w:pPr>
      <w:rPr>
        <w:rFonts w:hint="default"/>
      </w:rPr>
    </w:lvl>
    <w:lvl w:ilvl="6" w:tplc="6DCC8C02">
      <w:start w:val="1"/>
      <w:numFmt w:val="decimal"/>
      <w:lvlText w:val="%7."/>
      <w:lvlJc w:val="left"/>
      <w:pPr>
        <w:ind w:left="2520" w:hanging="360"/>
      </w:pPr>
      <w:rPr>
        <w:rFonts w:hint="default"/>
      </w:rPr>
    </w:lvl>
    <w:lvl w:ilvl="7" w:tplc="C74408F6">
      <w:start w:val="1"/>
      <w:numFmt w:val="lowerLetter"/>
      <w:lvlText w:val="%8."/>
      <w:lvlJc w:val="left"/>
      <w:pPr>
        <w:ind w:left="2880" w:hanging="360"/>
      </w:pPr>
      <w:rPr>
        <w:rFonts w:hint="default"/>
      </w:rPr>
    </w:lvl>
    <w:lvl w:ilvl="8" w:tplc="256ADD42">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7144166"/>
    <w:multiLevelType w:val="hybridMultilevel"/>
    <w:tmpl w:val="5B6CA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hybridMultilevel"/>
    <w:tmpl w:val="BEB6CF72"/>
    <w:lvl w:ilvl="0" w:tplc="BA106A2C">
      <w:start w:val="1"/>
      <w:numFmt w:val="decimal"/>
      <w:pStyle w:val="Listing1"/>
      <w:lvlText w:val="%1."/>
      <w:lvlJc w:val="left"/>
      <w:pPr>
        <w:ind w:left="567" w:hanging="567"/>
      </w:pPr>
      <w:rPr>
        <w:rFonts w:hint="default"/>
      </w:rPr>
    </w:lvl>
    <w:lvl w:ilvl="1" w:tplc="774038AE">
      <w:start w:val="1"/>
      <w:numFmt w:val="lowerLetter"/>
      <w:lvlText w:val="%2)"/>
      <w:lvlJc w:val="left"/>
      <w:pPr>
        <w:ind w:left="720" w:hanging="360"/>
      </w:pPr>
      <w:rPr>
        <w:rFonts w:hint="default"/>
      </w:rPr>
    </w:lvl>
    <w:lvl w:ilvl="2" w:tplc="B36CDB72">
      <w:start w:val="1"/>
      <w:numFmt w:val="lowerRoman"/>
      <w:lvlText w:val="%3)"/>
      <w:lvlJc w:val="left"/>
      <w:pPr>
        <w:ind w:left="1080" w:hanging="360"/>
      </w:pPr>
      <w:rPr>
        <w:rFonts w:hint="default"/>
      </w:rPr>
    </w:lvl>
    <w:lvl w:ilvl="3" w:tplc="314C914E">
      <w:start w:val="1"/>
      <w:numFmt w:val="decimal"/>
      <w:lvlText w:val="(%4)"/>
      <w:lvlJc w:val="left"/>
      <w:pPr>
        <w:ind w:left="1440" w:hanging="360"/>
      </w:pPr>
      <w:rPr>
        <w:rFonts w:hint="default"/>
      </w:rPr>
    </w:lvl>
    <w:lvl w:ilvl="4" w:tplc="DA56B616">
      <w:start w:val="1"/>
      <w:numFmt w:val="lowerLetter"/>
      <w:lvlText w:val="(%5)"/>
      <w:lvlJc w:val="left"/>
      <w:pPr>
        <w:ind w:left="1800" w:hanging="360"/>
      </w:pPr>
      <w:rPr>
        <w:rFonts w:hint="default"/>
      </w:rPr>
    </w:lvl>
    <w:lvl w:ilvl="5" w:tplc="E75E82DE">
      <w:start w:val="1"/>
      <w:numFmt w:val="lowerRoman"/>
      <w:lvlText w:val="(%6)"/>
      <w:lvlJc w:val="left"/>
      <w:pPr>
        <w:ind w:left="2160" w:hanging="360"/>
      </w:pPr>
      <w:rPr>
        <w:rFonts w:hint="default"/>
      </w:rPr>
    </w:lvl>
    <w:lvl w:ilvl="6" w:tplc="20A6E86A">
      <w:start w:val="1"/>
      <w:numFmt w:val="decimal"/>
      <w:lvlText w:val="%7."/>
      <w:lvlJc w:val="left"/>
      <w:pPr>
        <w:ind w:left="2520" w:hanging="360"/>
      </w:pPr>
      <w:rPr>
        <w:rFonts w:hint="default"/>
      </w:rPr>
    </w:lvl>
    <w:lvl w:ilvl="7" w:tplc="C1C42204">
      <w:start w:val="1"/>
      <w:numFmt w:val="lowerLetter"/>
      <w:lvlText w:val="%8."/>
      <w:lvlJc w:val="left"/>
      <w:pPr>
        <w:ind w:left="2880" w:hanging="360"/>
      </w:pPr>
      <w:rPr>
        <w:rFonts w:hint="default"/>
      </w:rPr>
    </w:lvl>
    <w:lvl w:ilvl="8" w:tplc="6C7AFBA6">
      <w:start w:val="1"/>
      <w:numFmt w:val="lowerRoman"/>
      <w:lvlText w:val="%9."/>
      <w:lvlJc w:val="left"/>
      <w:pPr>
        <w:ind w:left="3240" w:hanging="360"/>
      </w:pPr>
      <w:rPr>
        <w:rFonts w:hint="default"/>
      </w:rPr>
    </w:lvl>
  </w:abstractNum>
  <w:abstractNum w:abstractNumId="23" w15:restartNumberingAfterBreak="0">
    <w:nsid w:val="78D41F58"/>
    <w:multiLevelType w:val="hybridMultilevel"/>
    <w:tmpl w:val="FC6E8B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1"/>
  </w:num>
  <w:num w:numId="3">
    <w:abstractNumId w:val="11"/>
  </w:num>
  <w:num w:numId="4">
    <w:abstractNumId w:val="15"/>
  </w:num>
  <w:num w:numId="5">
    <w:abstractNumId w:val="0"/>
  </w:num>
  <w:num w:numId="6">
    <w:abstractNumId w:val="17"/>
  </w:num>
  <w:num w:numId="7">
    <w:abstractNumId w:val="6"/>
  </w:num>
  <w:num w:numId="8">
    <w:abstractNumId w:val="2"/>
  </w:num>
  <w:num w:numId="9">
    <w:abstractNumId w:val="5"/>
  </w:num>
  <w:num w:numId="10">
    <w:abstractNumId w:val="22"/>
  </w:num>
  <w:num w:numId="11">
    <w:abstractNumId w:val="9"/>
  </w:num>
  <w:num w:numId="12">
    <w:abstractNumId w:val="3"/>
  </w:num>
  <w:num w:numId="13">
    <w:abstractNumId w:val="16"/>
  </w:num>
  <w:num w:numId="14">
    <w:abstractNumId w:val="7"/>
  </w:num>
  <w:num w:numId="15">
    <w:abstractNumId w:val="19"/>
  </w:num>
  <w:num w:numId="16">
    <w:abstractNumId w:val="8"/>
  </w:num>
  <w:num w:numId="17">
    <w:abstractNumId w:val="20"/>
  </w:num>
  <w:num w:numId="18">
    <w:abstractNumId w:val="10"/>
  </w:num>
  <w:num w:numId="19">
    <w:abstractNumId w:val="13"/>
  </w:num>
  <w:num w:numId="20">
    <w:abstractNumId w:val="1"/>
  </w:num>
  <w:num w:numId="21">
    <w:abstractNumId w:val="12"/>
  </w:num>
  <w:num w:numId="22">
    <w:abstractNumId w:val="23"/>
  </w:num>
  <w:num w:numId="23">
    <w:abstractNumId w:val="4"/>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4"/>
    <w:rsid w:val="00016A57"/>
    <w:rsid w:val="000667D8"/>
    <w:rsid w:val="00115086"/>
    <w:rsid w:val="0014195C"/>
    <w:rsid w:val="0015759E"/>
    <w:rsid w:val="001C716B"/>
    <w:rsid w:val="001D2013"/>
    <w:rsid w:val="00230097"/>
    <w:rsid w:val="00302A41"/>
    <w:rsid w:val="00384A0A"/>
    <w:rsid w:val="004C711B"/>
    <w:rsid w:val="004D6ED1"/>
    <w:rsid w:val="004F22BD"/>
    <w:rsid w:val="00515BD2"/>
    <w:rsid w:val="00574DA6"/>
    <w:rsid w:val="005A5552"/>
    <w:rsid w:val="005D509A"/>
    <w:rsid w:val="006B3762"/>
    <w:rsid w:val="007229A0"/>
    <w:rsid w:val="007344F4"/>
    <w:rsid w:val="00850518"/>
    <w:rsid w:val="008806FC"/>
    <w:rsid w:val="00884319"/>
    <w:rsid w:val="008C5E30"/>
    <w:rsid w:val="009A5AE6"/>
    <w:rsid w:val="009D6A9B"/>
    <w:rsid w:val="00A2052E"/>
    <w:rsid w:val="00A30734"/>
    <w:rsid w:val="00A775A4"/>
    <w:rsid w:val="00B60A84"/>
    <w:rsid w:val="00BD4414"/>
    <w:rsid w:val="00C12C05"/>
    <w:rsid w:val="00C2047D"/>
    <w:rsid w:val="00C81618"/>
    <w:rsid w:val="00C868EA"/>
    <w:rsid w:val="00CC436F"/>
    <w:rsid w:val="00D27967"/>
    <w:rsid w:val="00D61DA6"/>
    <w:rsid w:val="00D93CBE"/>
    <w:rsid w:val="00E463BA"/>
    <w:rsid w:val="00E82B11"/>
    <w:rsid w:val="00EA2651"/>
    <w:rsid w:val="00F36E2A"/>
    <w:rsid w:val="00FB0CCF"/>
    <w:rsid w:val="072A513A"/>
    <w:rsid w:val="43E64461"/>
    <w:rsid w:val="4A42C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0A59FEC"/>
  <w15:chartTrackingRefBased/>
  <w15:docId w15:val="{BC8A95F3-5564-4C43-89C3-C4E26412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IC" w:eastAsia="VIC" w:hAnsi="VIC"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4414"/>
    <w:pPr>
      <w:spacing w:after="160" w:line="259" w:lineRule="auto"/>
    </w:pPr>
    <w:rPr>
      <w:sz w:val="22"/>
      <w:szCs w:val="22"/>
    </w:rPr>
  </w:style>
  <w:style w:type="paragraph" w:styleId="Heading1">
    <w:name w:val="heading 1"/>
    <w:link w:val="Heading1Char"/>
    <w:uiPriority w:val="9"/>
    <w:qFormat/>
    <w:rsid w:val="005A5552"/>
    <w:pPr>
      <w:keepNext/>
      <w:keepLines/>
      <w:spacing w:before="360" w:after="180" w:line="288" w:lineRule="auto"/>
      <w:outlineLvl w:val="0"/>
    </w:pPr>
    <w:rPr>
      <w:rFonts w:asciiTheme="majorHAnsi" w:hAnsiTheme="majorHAnsi" w:cstheme="majorBidi"/>
      <w:color w:val="00573F"/>
      <w:sz w:val="36"/>
      <w:szCs w:val="36"/>
    </w:rPr>
  </w:style>
  <w:style w:type="paragraph" w:styleId="Heading2">
    <w:name w:val="heading 2"/>
    <w:link w:val="Heading2Char"/>
    <w:uiPriority w:val="9"/>
    <w:qFormat/>
    <w:rsid w:val="005A5552"/>
    <w:pPr>
      <w:keepNext/>
      <w:keepLines/>
      <w:spacing w:before="320" w:after="160" w:line="288" w:lineRule="auto"/>
      <w:outlineLvl w:val="1"/>
    </w:pPr>
    <w:rPr>
      <w:rFonts w:ascii="VIC SemiBold" w:hAnsi="VIC SemiBold" w:cstheme="majorBidi"/>
      <w:color w:val="53565D"/>
      <w:sz w:val="30"/>
      <w:szCs w:val="32"/>
    </w:rPr>
  </w:style>
  <w:style w:type="paragraph" w:styleId="Heading3">
    <w:name w:val="heading 3"/>
    <w:link w:val="Heading3Char"/>
    <w:uiPriority w:val="9"/>
    <w:qFormat/>
    <w:rsid w:val="005A5552"/>
    <w:pPr>
      <w:keepNext/>
      <w:keepLines/>
      <w:spacing w:before="280" w:after="140" w:line="288" w:lineRule="auto"/>
      <w:outlineLvl w:val="2"/>
    </w:pPr>
    <w:rPr>
      <w:rFonts w:cstheme="majorBidi"/>
      <w:color w:val="53565A"/>
      <w:sz w:val="28"/>
      <w:szCs w:val="28"/>
    </w:rPr>
  </w:style>
  <w:style w:type="paragraph" w:styleId="Heading4">
    <w:name w:val="heading 4"/>
    <w:basedOn w:val="Normal"/>
    <w:next w:val="Normal"/>
    <w:link w:val="Heading4Char"/>
    <w:uiPriority w:val="9"/>
    <w:semiHidden/>
    <w:rsid w:val="00B60A84"/>
    <w:pPr>
      <w:keepNext/>
      <w:keepLines/>
      <w:spacing w:before="40" w:after="0"/>
      <w:outlineLvl w:val="3"/>
    </w:pPr>
    <w:rPr>
      <w:rFonts w:asciiTheme="majorHAnsi" w:eastAsiaTheme="majorEastAsia" w:hAnsiTheme="majorHAnsi" w:cstheme="majorBidi"/>
      <w:i/>
      <w:iCs/>
      <w:color w:val="00412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552"/>
    <w:rPr>
      <w:rFonts w:asciiTheme="majorHAnsi" w:hAnsiTheme="majorHAnsi" w:cstheme="majorBidi"/>
      <w:color w:val="00573F"/>
      <w:sz w:val="36"/>
      <w:szCs w:val="36"/>
    </w:rPr>
  </w:style>
  <w:style w:type="character" w:customStyle="1" w:styleId="Heading2Char">
    <w:name w:val="Heading 2 Char"/>
    <w:link w:val="Heading2"/>
    <w:uiPriority w:val="9"/>
    <w:rsid w:val="00BD4414"/>
    <w:rPr>
      <w:rFonts w:ascii="VIC SemiBold" w:hAnsi="VIC SemiBold" w:cstheme="majorBidi"/>
      <w:color w:val="53565D"/>
      <w:sz w:val="30"/>
      <w:szCs w:val="32"/>
    </w:rPr>
  </w:style>
  <w:style w:type="paragraph" w:styleId="Title">
    <w:name w:val="Title"/>
    <w:basedOn w:val="Normal"/>
    <w:next w:val="Normal"/>
    <w:link w:val="TitleChar"/>
    <w:uiPriority w:val="10"/>
    <w:qFormat/>
    <w:rsid w:val="005A5552"/>
    <w:pPr>
      <w:spacing w:after="480" w:line="288" w:lineRule="auto"/>
      <w:outlineLvl w:val="0"/>
    </w:pPr>
    <w:rPr>
      <w:rFonts w:cstheme="majorBidi"/>
      <w:b/>
      <w:color w:val="00573F"/>
      <w:sz w:val="48"/>
      <w:szCs w:val="48"/>
    </w:rPr>
  </w:style>
  <w:style w:type="character" w:customStyle="1" w:styleId="TitleChar">
    <w:name w:val="Title Char"/>
    <w:link w:val="Title"/>
    <w:uiPriority w:val="10"/>
    <w:rsid w:val="005A5552"/>
    <w:rPr>
      <w:rFonts w:cstheme="majorBidi"/>
      <w:b/>
      <w:color w:val="00573F"/>
      <w:sz w:val="48"/>
      <w:szCs w:val="48"/>
    </w:rPr>
  </w:style>
  <w:style w:type="paragraph" w:customStyle="1" w:styleId="TOC">
    <w:name w:val="TOC"/>
    <w:qFormat/>
    <w:rsid w:val="005A5552"/>
    <w:pPr>
      <w:keepNext/>
      <w:keepLines/>
      <w:spacing w:before="280" w:line="288" w:lineRule="auto"/>
      <w:outlineLvl w:val="1"/>
    </w:pPr>
    <w:rPr>
      <w:rFonts w:ascii="VIC SemiBold" w:hAnsi="VIC SemiBold"/>
      <w:color w:val="00573F"/>
      <w:sz w:val="28"/>
      <w:szCs w:val="28"/>
    </w:rPr>
  </w:style>
  <w:style w:type="paragraph" w:customStyle="1" w:styleId="Separator">
    <w:name w:val="Separator"/>
    <w:qFormat/>
    <w:rsid w:val="005A5552"/>
    <w:pPr>
      <w:keepNext/>
      <w:keepLines/>
      <w:pBdr>
        <w:top w:val="single" w:sz="12" w:space="1" w:color="00573F"/>
      </w:pBdr>
      <w:spacing w:before="220" w:after="220" w:line="288" w:lineRule="auto"/>
    </w:pPr>
    <w:rPr>
      <w:color w:val="00573F"/>
      <w:sz w:val="22"/>
      <w:szCs w:val="22"/>
    </w:rPr>
  </w:style>
  <w:style w:type="paragraph" w:customStyle="1" w:styleId="ListHeading1">
    <w:name w:val="List Heading 1"/>
    <w:basedOn w:val="Heading1"/>
    <w:qFormat/>
    <w:rsid w:val="005A5552"/>
    <w:pPr>
      <w:numPr>
        <w:numId w:val="1"/>
      </w:numPr>
    </w:pPr>
    <w:rPr>
      <w:rFonts w:cs="Times New Roman"/>
    </w:rPr>
  </w:style>
  <w:style w:type="paragraph" w:customStyle="1" w:styleId="ListHeading2">
    <w:name w:val="List Heading 2"/>
    <w:basedOn w:val="Heading2"/>
    <w:qFormat/>
    <w:rsid w:val="005A5552"/>
    <w:pPr>
      <w:numPr>
        <w:numId w:val="2"/>
      </w:numPr>
    </w:pPr>
    <w:rPr>
      <w:rFonts w:cs="Times New Roman"/>
    </w:rPr>
  </w:style>
  <w:style w:type="paragraph" w:customStyle="1" w:styleId="ListHeading3">
    <w:name w:val="List Heading 3"/>
    <w:basedOn w:val="Heading3"/>
    <w:qFormat/>
    <w:rsid w:val="00C2047D"/>
    <w:pPr>
      <w:numPr>
        <w:numId w:val="3"/>
      </w:numPr>
      <w:ind w:left="2127" w:hanging="709"/>
    </w:pPr>
    <w:rPr>
      <w:rFonts w:cs="Times New Roman"/>
    </w:rPr>
  </w:style>
  <w:style w:type="character" w:customStyle="1" w:styleId="Heading3Char">
    <w:name w:val="Heading 3 Char"/>
    <w:link w:val="Heading3"/>
    <w:uiPriority w:val="9"/>
    <w:rsid w:val="00BD4414"/>
    <w:rPr>
      <w:rFonts w:cstheme="majorBidi"/>
      <w:color w:val="53565A"/>
      <w:sz w:val="28"/>
      <w:szCs w:val="28"/>
    </w:rPr>
  </w:style>
  <w:style w:type="paragraph" w:customStyle="1" w:styleId="NumberedHeading1">
    <w:name w:val="Numbered Heading 1"/>
    <w:basedOn w:val="Heading1"/>
    <w:qFormat/>
    <w:rsid w:val="005A5552"/>
    <w:pPr>
      <w:numPr>
        <w:numId w:val="4"/>
      </w:numPr>
    </w:pPr>
    <w:rPr>
      <w:rFonts w:cs="Times New Roman"/>
    </w:rPr>
  </w:style>
  <w:style w:type="paragraph" w:customStyle="1" w:styleId="NumberedHeading2">
    <w:name w:val="Numbered Heading 2"/>
    <w:basedOn w:val="Heading2"/>
    <w:qFormat/>
    <w:rsid w:val="005A5552"/>
    <w:pPr>
      <w:numPr>
        <w:ilvl w:val="1"/>
        <w:numId w:val="5"/>
      </w:numPr>
    </w:pPr>
    <w:rPr>
      <w:rFonts w:cs="Times New Roman"/>
    </w:rPr>
  </w:style>
  <w:style w:type="paragraph" w:customStyle="1" w:styleId="NumberedHeading3">
    <w:name w:val="Numbered Heading 3"/>
    <w:basedOn w:val="Heading3"/>
    <w:qFormat/>
    <w:rsid w:val="005A5552"/>
    <w:pPr>
      <w:numPr>
        <w:ilvl w:val="2"/>
        <w:numId w:val="6"/>
      </w:numPr>
    </w:pPr>
    <w:rPr>
      <w:rFonts w:cs="Times New Roman"/>
    </w:rPr>
  </w:style>
  <w:style w:type="paragraph" w:customStyle="1" w:styleId="Bullet1">
    <w:name w:val="Bullet 1"/>
    <w:basedOn w:val="Normal"/>
    <w:qFormat/>
    <w:rsid w:val="005A5552"/>
    <w:pPr>
      <w:numPr>
        <w:numId w:val="7"/>
      </w:numPr>
      <w:spacing w:line="288" w:lineRule="auto"/>
    </w:pPr>
  </w:style>
  <w:style w:type="paragraph" w:customStyle="1" w:styleId="Bullet2">
    <w:name w:val="Bullet 2"/>
    <w:basedOn w:val="Normal"/>
    <w:qFormat/>
    <w:rsid w:val="00C2047D"/>
    <w:pPr>
      <w:numPr>
        <w:numId w:val="8"/>
      </w:numPr>
      <w:spacing w:line="288" w:lineRule="auto"/>
      <w:ind w:left="993" w:hanging="426"/>
    </w:pPr>
  </w:style>
  <w:style w:type="paragraph" w:customStyle="1" w:styleId="Bullet3">
    <w:name w:val="Bullet 3"/>
    <w:basedOn w:val="Normal"/>
    <w:qFormat/>
    <w:rsid w:val="00C2047D"/>
    <w:pPr>
      <w:numPr>
        <w:numId w:val="9"/>
      </w:numPr>
      <w:spacing w:line="288" w:lineRule="auto"/>
      <w:ind w:left="993" w:firstLine="0"/>
    </w:pPr>
  </w:style>
  <w:style w:type="paragraph" w:customStyle="1" w:styleId="Listing1">
    <w:name w:val="Listing 1"/>
    <w:basedOn w:val="ListParagraph"/>
    <w:qFormat/>
    <w:rsid w:val="005A5552"/>
    <w:pPr>
      <w:numPr>
        <w:numId w:val="10"/>
      </w:numPr>
      <w:spacing w:line="288" w:lineRule="auto"/>
    </w:pPr>
  </w:style>
  <w:style w:type="paragraph" w:styleId="ListParagraph">
    <w:name w:val="List Paragraph"/>
    <w:basedOn w:val="Normal"/>
    <w:uiPriority w:val="34"/>
    <w:qFormat/>
    <w:rsid w:val="005A5552"/>
    <w:pPr>
      <w:ind w:left="567" w:hanging="567"/>
      <w:contextualSpacing/>
    </w:pPr>
  </w:style>
  <w:style w:type="paragraph" w:customStyle="1" w:styleId="Listing2">
    <w:name w:val="Listing 2"/>
    <w:basedOn w:val="ListParagraph"/>
    <w:qFormat/>
    <w:rsid w:val="005A5552"/>
    <w:pPr>
      <w:numPr>
        <w:ilvl w:val="1"/>
        <w:numId w:val="11"/>
      </w:numPr>
      <w:spacing w:line="288" w:lineRule="auto"/>
    </w:pPr>
  </w:style>
  <w:style w:type="paragraph" w:customStyle="1" w:styleId="Listing3">
    <w:name w:val="Listing 3"/>
    <w:basedOn w:val="ListParagraph"/>
    <w:qFormat/>
    <w:rsid w:val="005A5552"/>
    <w:pPr>
      <w:numPr>
        <w:numId w:val="12"/>
      </w:numPr>
      <w:spacing w:line="288" w:lineRule="auto"/>
    </w:pPr>
  </w:style>
  <w:style w:type="paragraph" w:customStyle="1" w:styleId="NumberedList1">
    <w:name w:val="Numbered List 1"/>
    <w:basedOn w:val="ListParagraph"/>
    <w:qFormat/>
    <w:rsid w:val="005A5552"/>
    <w:pPr>
      <w:numPr>
        <w:numId w:val="13"/>
      </w:numPr>
      <w:spacing w:line="288" w:lineRule="auto"/>
    </w:pPr>
  </w:style>
  <w:style w:type="paragraph" w:customStyle="1" w:styleId="NumberedList2">
    <w:name w:val="Numbered List 2"/>
    <w:basedOn w:val="ListParagraph"/>
    <w:qFormat/>
    <w:rsid w:val="005A5552"/>
    <w:pPr>
      <w:numPr>
        <w:ilvl w:val="1"/>
        <w:numId w:val="14"/>
      </w:numPr>
      <w:spacing w:line="288" w:lineRule="auto"/>
    </w:pPr>
  </w:style>
  <w:style w:type="paragraph" w:customStyle="1" w:styleId="NumberedList3">
    <w:name w:val="Numbered List 3"/>
    <w:basedOn w:val="ListParagraph"/>
    <w:qFormat/>
    <w:rsid w:val="005A5552"/>
    <w:pPr>
      <w:numPr>
        <w:ilvl w:val="2"/>
        <w:numId w:val="15"/>
      </w:numPr>
      <w:spacing w:line="288" w:lineRule="auto"/>
    </w:pPr>
  </w:style>
  <w:style w:type="paragraph" w:customStyle="1" w:styleId="TableChartTitle">
    <w:name w:val="Table/Chart Title"/>
    <w:basedOn w:val="Normal"/>
    <w:qFormat/>
    <w:rsid w:val="005A5552"/>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5A5552"/>
    <w:pPr>
      <w:spacing w:line="288" w:lineRule="auto"/>
    </w:pPr>
    <w:rPr>
      <w:b/>
      <w:color w:val="53565A"/>
    </w:rPr>
  </w:style>
  <w:style w:type="paragraph" w:customStyle="1" w:styleId="TableChartBody">
    <w:name w:val="Table/Chart Body"/>
    <w:basedOn w:val="Normal"/>
    <w:qFormat/>
    <w:rsid w:val="005A5552"/>
    <w:pPr>
      <w:spacing w:after="0" w:line="288" w:lineRule="auto"/>
    </w:pPr>
  </w:style>
  <w:style w:type="paragraph" w:customStyle="1" w:styleId="TableBullet1">
    <w:name w:val="Table Bullet 1"/>
    <w:basedOn w:val="TableChartBody"/>
    <w:qFormat/>
    <w:rsid w:val="005A5552"/>
    <w:pPr>
      <w:numPr>
        <w:numId w:val="16"/>
      </w:numPr>
    </w:pPr>
  </w:style>
  <w:style w:type="paragraph" w:customStyle="1" w:styleId="TableBullet2">
    <w:name w:val="Table Bullet 2"/>
    <w:basedOn w:val="TableChartBody"/>
    <w:qFormat/>
    <w:rsid w:val="005A5552"/>
    <w:pPr>
      <w:numPr>
        <w:numId w:val="17"/>
      </w:numPr>
    </w:pPr>
  </w:style>
  <w:style w:type="paragraph" w:customStyle="1" w:styleId="TableBullet3">
    <w:name w:val="Table Bullet 3"/>
    <w:basedOn w:val="TableChartBody"/>
    <w:qFormat/>
    <w:rsid w:val="008C5E30"/>
    <w:pPr>
      <w:numPr>
        <w:numId w:val="18"/>
      </w:numPr>
      <w:ind w:left="1034" w:hanging="425"/>
    </w:pPr>
  </w:style>
  <w:style w:type="paragraph" w:customStyle="1" w:styleId="TableListing1">
    <w:name w:val="Table Listing 1"/>
    <w:basedOn w:val="TableChartBody"/>
    <w:qFormat/>
    <w:rsid w:val="005A5552"/>
    <w:pPr>
      <w:numPr>
        <w:numId w:val="19"/>
      </w:numPr>
    </w:pPr>
  </w:style>
  <w:style w:type="paragraph" w:customStyle="1" w:styleId="TableListing2">
    <w:name w:val="Table Listing 2"/>
    <w:basedOn w:val="TableChartBody"/>
    <w:qFormat/>
    <w:rsid w:val="005A5552"/>
    <w:pPr>
      <w:numPr>
        <w:numId w:val="20"/>
      </w:numPr>
    </w:pPr>
  </w:style>
  <w:style w:type="paragraph" w:customStyle="1" w:styleId="TableListing3">
    <w:name w:val="Table Listing 3"/>
    <w:basedOn w:val="TableChartBody"/>
    <w:qFormat/>
    <w:rsid w:val="004F22BD"/>
    <w:pPr>
      <w:numPr>
        <w:numId w:val="21"/>
      </w:numPr>
      <w:ind w:left="1034" w:hanging="283"/>
    </w:pPr>
  </w:style>
  <w:style w:type="paragraph" w:customStyle="1" w:styleId="TableChartHeading">
    <w:name w:val="Table/Chart Heading"/>
    <w:basedOn w:val="Normal"/>
    <w:qFormat/>
    <w:rsid w:val="005A5552"/>
    <w:pPr>
      <w:spacing w:after="0" w:line="288" w:lineRule="auto"/>
    </w:pPr>
    <w:rPr>
      <w:b/>
    </w:rPr>
  </w:style>
  <w:style w:type="paragraph" w:customStyle="1" w:styleId="Body">
    <w:name w:val="Body"/>
    <w:basedOn w:val="Normal"/>
    <w:qFormat/>
    <w:rsid w:val="005A5552"/>
    <w:pPr>
      <w:spacing w:line="288" w:lineRule="auto"/>
    </w:pPr>
  </w:style>
  <w:style w:type="paragraph" w:customStyle="1" w:styleId="BodyIndent">
    <w:name w:val="Body Indent"/>
    <w:basedOn w:val="Body"/>
    <w:qFormat/>
    <w:rsid w:val="005A5552"/>
    <w:pPr>
      <w:ind w:left="567"/>
    </w:pPr>
  </w:style>
  <w:style w:type="table" w:styleId="TableGrid">
    <w:name w:val="Table Grid"/>
    <w:basedOn w:val="TableNormal"/>
    <w:uiPriority w:val="39"/>
    <w:rsid w:val="00BD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75A4"/>
    <w:tblPr>
      <w:tblBorders>
        <w:bottom w:val="single" w:sz="4" w:space="0" w:color="535353" w:themeColor="text2"/>
        <w:insideH w:val="single" w:sz="4" w:space="0" w:color="535353" w:themeColor="text2"/>
        <w:insideV w:val="single" w:sz="4" w:space="0" w:color="535353" w:themeColor="text2"/>
      </w:tblBorders>
    </w:tblPr>
    <w:trPr>
      <w:cantSplit/>
    </w:trPr>
    <w:tblStylePr w:type="firstRow">
      <w:rPr>
        <w:rFonts w:asciiTheme="majorHAnsi" w:hAnsiTheme="majorHAnsi"/>
      </w:rPr>
      <w:tblPr/>
      <w:tcPr>
        <w:tcBorders>
          <w:insideH w:val="single" w:sz="4" w:space="0" w:color="A7A7A7" w:themeColor="background2"/>
          <w:insideV w:val="single" w:sz="4" w:space="0" w:color="A7A7A7" w:themeColor="background2"/>
        </w:tcBorders>
        <w:shd w:val="clear" w:color="auto" w:fill="00573F" w:themeFill="accent1"/>
      </w:tcPr>
    </w:tblStylePr>
  </w:style>
  <w:style w:type="paragraph" w:styleId="Header">
    <w:name w:val="header"/>
    <w:basedOn w:val="Normal"/>
    <w:link w:val="Head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character" w:customStyle="1" w:styleId="HeaderChar">
    <w:name w:val="Header Char"/>
    <w:basedOn w:val="DefaultParagraphFont"/>
    <w:link w:val="Header"/>
    <w:uiPriority w:val="99"/>
    <w:rsid w:val="00FB0CCF"/>
    <w:rPr>
      <w:rFonts w:ascii="VIC Medium" w:hAnsi="VIC Medium"/>
      <w:color w:val="535353" w:themeColor="text2"/>
      <w:sz w:val="18"/>
      <w:szCs w:val="18"/>
    </w:rPr>
  </w:style>
  <w:style w:type="paragraph" w:styleId="Subtitle">
    <w:name w:val="Subtitle"/>
    <w:basedOn w:val="Normal"/>
    <w:next w:val="Normal"/>
    <w:link w:val="SubtitleChar"/>
    <w:uiPriority w:val="11"/>
    <w:qFormat/>
    <w:rsid w:val="005A5552"/>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5A5552"/>
    <w:rPr>
      <w:rFonts w:ascii="VIC SemiBold" w:hAnsi="VIC SemiBold"/>
      <w:color w:val="53565A"/>
      <w:sz w:val="28"/>
      <w:szCs w:val="28"/>
    </w:rPr>
  </w:style>
  <w:style w:type="character" w:styleId="Hyperlink">
    <w:name w:val="Hyperlink"/>
    <w:uiPriority w:val="99"/>
    <w:unhideWhenUsed/>
    <w:qFormat/>
    <w:rsid w:val="005A5552"/>
    <w:rPr>
      <w:color w:val="00573F"/>
      <w:u w:val="single"/>
    </w:rPr>
  </w:style>
  <w:style w:type="character" w:styleId="Strong">
    <w:name w:val="Strong"/>
    <w:uiPriority w:val="22"/>
    <w:qFormat/>
    <w:rsid w:val="005A5552"/>
    <w:rPr>
      <w:rFonts w:asciiTheme="majorHAnsi" w:hAnsiTheme="majorHAnsi"/>
      <w:b w:val="0"/>
    </w:rPr>
  </w:style>
  <w:style w:type="character" w:styleId="Emphasis">
    <w:name w:val="Emphasis"/>
    <w:uiPriority w:val="20"/>
    <w:qFormat/>
    <w:rsid w:val="005A5552"/>
    <w:rPr>
      <w:i/>
      <w:iCs/>
    </w:rPr>
  </w:style>
  <w:style w:type="paragraph" w:styleId="Footer">
    <w:name w:val="footer"/>
    <w:basedOn w:val="Normal"/>
    <w:link w:val="Foot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paragraph" w:styleId="Quote">
    <w:name w:val="Quote"/>
    <w:basedOn w:val="Normal"/>
    <w:next w:val="Normal"/>
    <w:link w:val="QuoteChar"/>
    <w:uiPriority w:val="29"/>
    <w:qFormat/>
    <w:rsid w:val="005A5552"/>
    <w:pPr>
      <w:spacing w:line="288" w:lineRule="auto"/>
      <w:ind w:left="567" w:right="567"/>
    </w:pPr>
    <w:rPr>
      <w:rFonts w:ascii="VIC Medium" w:hAnsi="VIC Medium"/>
      <w:color w:val="201547" w:themeColor="accent5"/>
    </w:rPr>
  </w:style>
  <w:style w:type="character" w:customStyle="1" w:styleId="QuoteChar">
    <w:name w:val="Quote Char"/>
    <w:basedOn w:val="DefaultParagraphFont"/>
    <w:link w:val="Quote"/>
    <w:uiPriority w:val="29"/>
    <w:rsid w:val="005A5552"/>
    <w:rPr>
      <w:rFonts w:ascii="VIC Medium" w:hAnsi="VIC Medium"/>
      <w:color w:val="201547" w:themeColor="accent5"/>
      <w:sz w:val="22"/>
      <w:szCs w:val="22"/>
    </w:rPr>
  </w:style>
  <w:style w:type="paragraph" w:styleId="IntenseQuote">
    <w:name w:val="Intense Quote"/>
    <w:basedOn w:val="Quote"/>
    <w:link w:val="IntenseQuoteChar"/>
    <w:uiPriority w:val="30"/>
    <w:qFormat/>
    <w:rsid w:val="00BD4414"/>
    <w:pPr>
      <w:keepNext/>
      <w:keepLines/>
      <w:pBdr>
        <w:top w:val="single" w:sz="8" w:space="10" w:color="201547" w:themeColor="accent5"/>
        <w:bottom w:val="single" w:sz="8" w:space="10" w:color="201547" w:themeColor="accent5"/>
      </w:pBdr>
    </w:pPr>
    <w:rPr>
      <w:rFonts w:ascii="VIC" w:hAnsi="VIC"/>
      <w:iCs/>
      <w:color w:val="auto"/>
    </w:rPr>
  </w:style>
  <w:style w:type="character" w:customStyle="1" w:styleId="IntenseQuoteChar">
    <w:name w:val="Intense Quote Char"/>
    <w:link w:val="IntenseQuote"/>
    <w:uiPriority w:val="30"/>
    <w:rsid w:val="00BD4414"/>
    <w:rPr>
      <w:iCs/>
      <w:sz w:val="22"/>
      <w:szCs w:val="22"/>
    </w:rPr>
  </w:style>
  <w:style w:type="character" w:customStyle="1" w:styleId="FooterChar">
    <w:name w:val="Footer Char"/>
    <w:basedOn w:val="DefaultParagraphFont"/>
    <w:link w:val="Footer"/>
    <w:uiPriority w:val="99"/>
    <w:rsid w:val="00FB0CCF"/>
    <w:rPr>
      <w:rFonts w:ascii="VIC Medium" w:hAnsi="VIC Medium"/>
      <w:color w:val="535353" w:themeColor="text2"/>
      <w:sz w:val="18"/>
      <w:szCs w:val="18"/>
    </w:rPr>
  </w:style>
  <w:style w:type="character" w:styleId="IntenseEmphasis">
    <w:name w:val="Intense Emphasis"/>
    <w:uiPriority w:val="21"/>
    <w:qFormat/>
    <w:rsid w:val="005A5552"/>
    <w:rPr>
      <w:i/>
      <w:iCs/>
      <w:color w:val="00573F"/>
    </w:rPr>
  </w:style>
  <w:style w:type="character" w:styleId="SubtleReference">
    <w:name w:val="Subtle Reference"/>
    <w:uiPriority w:val="31"/>
    <w:qFormat/>
    <w:rsid w:val="005A5552"/>
    <w:rPr>
      <w:i/>
      <w:smallCaps/>
      <w:color w:val="auto"/>
    </w:rPr>
  </w:style>
  <w:style w:type="character" w:styleId="IntenseReference">
    <w:name w:val="Intense Reference"/>
    <w:uiPriority w:val="32"/>
    <w:qFormat/>
    <w:rsid w:val="005A5552"/>
    <w:rPr>
      <w:b/>
      <w:bCs/>
      <w:i/>
      <w:smallCaps/>
      <w:color w:val="auto"/>
      <w:spacing w:val="5"/>
      <w:u w:val="none"/>
      <w:bdr w:val="none" w:sz="0" w:space="0" w:color="auto"/>
    </w:rPr>
  </w:style>
  <w:style w:type="character" w:customStyle="1" w:styleId="Heading4Char">
    <w:name w:val="Heading 4 Char"/>
    <w:basedOn w:val="DefaultParagraphFont"/>
    <w:link w:val="Heading4"/>
    <w:uiPriority w:val="9"/>
    <w:semiHidden/>
    <w:rsid w:val="00B60A84"/>
    <w:rPr>
      <w:rFonts w:asciiTheme="majorHAnsi" w:eastAsiaTheme="majorEastAsia" w:hAnsiTheme="majorHAnsi" w:cstheme="majorBidi"/>
      <w:i/>
      <w:iCs/>
      <w:color w:val="00412E" w:themeColor="accent1" w:themeShade="BF"/>
      <w:sz w:val="22"/>
      <w:szCs w:val="22"/>
    </w:rPr>
  </w:style>
  <w:style w:type="paragraph" w:styleId="BalloonText">
    <w:name w:val="Balloon Text"/>
    <w:basedOn w:val="Normal"/>
    <w:link w:val="BalloonTextChar"/>
    <w:uiPriority w:val="99"/>
    <w:semiHidden/>
    <w:unhideWhenUsed/>
    <w:rsid w:val="009D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9B"/>
    <w:rPr>
      <w:rFonts w:ascii="Segoe UI" w:hAnsi="Segoe UI" w:cs="Segoe UI"/>
      <w:sz w:val="18"/>
      <w:szCs w:val="18"/>
    </w:rPr>
  </w:style>
  <w:style w:type="paragraph" w:customStyle="1" w:styleId="BodyVPSC">
    <w:name w:val="Body VPSC"/>
    <w:link w:val="BodyVPSCChar"/>
    <w:qFormat/>
    <w:rsid w:val="007229A0"/>
    <w:pPr>
      <w:spacing w:after="100" w:line="276" w:lineRule="auto"/>
    </w:pPr>
    <w:rPr>
      <w:rFonts w:ascii="Arial" w:eastAsia="Times New Roman" w:hAnsi="Arial" w:cs="Tahoma"/>
      <w:color w:val="002319" w:themeColor="text1"/>
      <w:lang w:eastAsia="en-AU"/>
    </w:rPr>
  </w:style>
  <w:style w:type="paragraph" w:customStyle="1" w:styleId="NLH1VPSC">
    <w:name w:val="NLH1 VPSC"/>
    <w:basedOn w:val="Normal"/>
    <w:next w:val="BodyVPSC"/>
    <w:qFormat/>
    <w:rsid w:val="007229A0"/>
    <w:pPr>
      <w:spacing w:before="200" w:after="100" w:line="240" w:lineRule="auto"/>
    </w:pPr>
    <w:rPr>
      <w:rFonts w:ascii="Arial" w:eastAsia="Times New Roman" w:hAnsi="Arial" w:cs="Tahoma"/>
      <w:color w:val="005A65"/>
      <w:sz w:val="28"/>
      <w:szCs w:val="28"/>
      <w:lang w:eastAsia="en-AU"/>
    </w:rPr>
  </w:style>
  <w:style w:type="paragraph" w:styleId="FootnoteText">
    <w:name w:val="footnote text"/>
    <w:basedOn w:val="Normal"/>
    <w:link w:val="FootnoteTextChar"/>
    <w:uiPriority w:val="99"/>
    <w:semiHidden/>
    <w:unhideWhenUsed/>
    <w:rsid w:val="007229A0"/>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semiHidden/>
    <w:rsid w:val="007229A0"/>
    <w:rPr>
      <w:rFonts w:asciiTheme="minorHAnsi" w:eastAsiaTheme="minorEastAsia" w:hAnsiTheme="minorHAnsi" w:cstheme="minorBidi"/>
      <w:lang w:val="en-US" w:eastAsia="ja-JP"/>
    </w:rPr>
  </w:style>
  <w:style w:type="character" w:customStyle="1" w:styleId="BodyVPSCChar">
    <w:name w:val="Body VPSC Char"/>
    <w:basedOn w:val="DefaultParagraphFont"/>
    <w:link w:val="BodyVPSC"/>
    <w:rsid w:val="007229A0"/>
    <w:rPr>
      <w:rFonts w:ascii="Arial" w:eastAsia="Times New Roman" w:hAnsi="Arial" w:cs="Tahoma"/>
      <w:color w:val="002319" w:themeColor="text1"/>
      <w:lang w:eastAsia="en-AU"/>
    </w:rPr>
  </w:style>
  <w:style w:type="character" w:styleId="FootnoteReference">
    <w:name w:val="footnote reference"/>
    <w:basedOn w:val="DefaultParagraphFont"/>
    <w:uiPriority w:val="99"/>
    <w:semiHidden/>
    <w:unhideWhenUsed/>
    <w:rsid w:val="007229A0"/>
    <w:rPr>
      <w:vertAlign w:val="superscript"/>
    </w:rPr>
  </w:style>
  <w:style w:type="paragraph" w:customStyle="1" w:styleId="T2VPSC">
    <w:name w:val="T2 VPSC"/>
    <w:basedOn w:val="TOC2"/>
    <w:next w:val="BodyVPSC"/>
    <w:qFormat/>
    <w:rsid w:val="007229A0"/>
    <w:pPr>
      <w:tabs>
        <w:tab w:val="left" w:pos="7655"/>
      </w:tabs>
      <w:spacing w:after="0" w:line="240" w:lineRule="auto"/>
      <w:ind w:left="0"/>
    </w:pPr>
    <w:rPr>
      <w:rFonts w:ascii="Arial" w:eastAsiaTheme="minorEastAsia" w:hAnsi="Arial" w:cstheme="minorBidi"/>
      <w:color w:val="535353" w:themeColor="text2"/>
      <w:sz w:val="24"/>
      <w:szCs w:val="28"/>
      <w:lang w:val="en-US" w:eastAsia="ja-JP"/>
    </w:rPr>
  </w:style>
  <w:style w:type="character" w:customStyle="1" w:styleId="ilfuvd">
    <w:name w:val="ilfuvd"/>
    <w:basedOn w:val="DefaultParagraphFont"/>
    <w:rsid w:val="007229A0"/>
  </w:style>
  <w:style w:type="paragraph" w:styleId="TOC2">
    <w:name w:val="toc 2"/>
    <w:basedOn w:val="Normal"/>
    <w:next w:val="Normal"/>
    <w:autoRedefine/>
    <w:uiPriority w:val="39"/>
    <w:semiHidden/>
    <w:unhideWhenUsed/>
    <w:rsid w:val="007229A0"/>
    <w:pPr>
      <w:spacing w:after="100"/>
      <w:ind w:left="220"/>
    </w:pPr>
  </w:style>
  <w:style w:type="paragraph" w:styleId="CommentText">
    <w:name w:val="annotation text"/>
    <w:basedOn w:val="Normal"/>
    <w:link w:val="CommentTextChar"/>
    <w:uiPriority w:val="99"/>
    <w:semiHidden/>
    <w:unhideWhenUsed/>
    <w:rsid w:val="007229A0"/>
    <w:pPr>
      <w:spacing w:after="20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7229A0"/>
    <w:rPr>
      <w:rFonts w:asciiTheme="minorHAnsi" w:eastAsiaTheme="minorEastAsia" w:hAnsiTheme="minorHAnsi" w:cstheme="minorBidi"/>
      <w:lang w:val="en-US" w:eastAsia="ja-JP"/>
    </w:rPr>
  </w:style>
  <w:style w:type="character" w:styleId="CommentReference">
    <w:name w:val="annotation reference"/>
    <w:basedOn w:val="DefaultParagraphFont"/>
    <w:uiPriority w:val="99"/>
    <w:semiHidden/>
    <w:unhideWhenUsed/>
    <w:rsid w:val="007229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sc.vic.gov.au/resources/pre-employment-screening-misconduct-victorian-public-serv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psc.vic.gov.au/about-vpsc/legislative-framework-the-public-administration-act-20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sc.vic.gov.au/resources/code-of-conduct-for-employe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psc.vic.gov.au/resources/pre-employment-screening-misconduct-victorian-public-serv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ictorian Public Sector Commission">
      <a:dk1>
        <a:srgbClr val="002319"/>
      </a:dk1>
      <a:lt1>
        <a:srgbClr val="FFFFFF"/>
      </a:lt1>
      <a:dk2>
        <a:srgbClr val="535353"/>
      </a:dk2>
      <a:lt2>
        <a:srgbClr val="A7A7A7"/>
      </a:lt2>
      <a:accent1>
        <a:srgbClr val="00573F"/>
      </a:accent1>
      <a:accent2>
        <a:srgbClr val="007B4B"/>
      </a:accent2>
      <a:accent3>
        <a:srgbClr val="004C97"/>
      </a:accent3>
      <a:accent4>
        <a:srgbClr val="642667"/>
      </a:accent4>
      <a:accent5>
        <a:srgbClr val="201547"/>
      </a:accent5>
      <a:accent6>
        <a:srgbClr val="707070"/>
      </a:accent6>
      <a:hlink>
        <a:srgbClr val="642667"/>
      </a:hlink>
      <a:folHlink>
        <a:srgbClr val="20154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0DE6D3E49D14E9F1589506359F00B" ma:contentTypeVersion="5" ma:contentTypeDescription="Create a new document." ma:contentTypeScope="" ma:versionID="2fc2bfa65cb2e438dcb8739fb335540a">
  <xsd:schema xmlns:xsd="http://www.w3.org/2001/XMLSchema" xmlns:xs="http://www.w3.org/2001/XMLSchema" xmlns:p="http://schemas.microsoft.com/office/2006/metadata/properties" xmlns:ns3="0e3f9631-89f9-4367-af84-4cc857970a7f" xmlns:ns4="2b4a34b5-547c-4ddd-bdbb-d47032ee51d1" targetNamespace="http://schemas.microsoft.com/office/2006/metadata/properties" ma:root="true" ma:fieldsID="69193482403546030b6345be4dc97682" ns3:_="" ns4:_="">
    <xsd:import namespace="0e3f9631-89f9-4367-af84-4cc857970a7f"/>
    <xsd:import namespace="2b4a34b5-547c-4ddd-bdbb-d47032ee51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9631-89f9-4367-af84-4cc857970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a34b5-547c-4ddd-bdbb-d47032ee51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759EA6D0-F62C-4E53-BC86-A0A734E6974F}">
  <ds:schemaRefs>
    <ds:schemaRef ds:uri="http://purl.org/dc/elements/1.1/"/>
    <ds:schemaRef ds:uri="http://schemas.microsoft.com/office/2006/metadata/properties"/>
    <ds:schemaRef ds:uri="http://purl.org/dc/terms/"/>
    <ds:schemaRef ds:uri="2b4a34b5-547c-4ddd-bdbb-d47032ee51d1"/>
    <ds:schemaRef ds:uri="0e3f9631-89f9-4367-af84-4cc857970a7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FE255B-9B53-46AA-9233-73D9B043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9631-89f9-4367-af84-4cc857970a7f"/>
    <ds:schemaRef ds:uri="2b4a34b5-547c-4ddd-bdbb-d47032e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62C34-B18C-4C07-89FD-9D1B431DC9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Links>
    <vt:vector size="24" baseType="variant">
      <vt:variant>
        <vt:i4>2687016</vt:i4>
      </vt:variant>
      <vt:variant>
        <vt:i4>9</vt:i4>
      </vt:variant>
      <vt:variant>
        <vt:i4>0</vt:i4>
      </vt:variant>
      <vt:variant>
        <vt:i4>5</vt:i4>
      </vt:variant>
      <vt:variant>
        <vt:lpwstr>https://vpsc.vic.gov.au/resources/pre-employment-screening-misconduct-victorian-public-service/</vt:lpwstr>
      </vt:variant>
      <vt:variant>
        <vt:lpwstr/>
      </vt:variant>
      <vt:variant>
        <vt:i4>2687016</vt:i4>
      </vt:variant>
      <vt:variant>
        <vt:i4>6</vt:i4>
      </vt:variant>
      <vt:variant>
        <vt:i4>0</vt:i4>
      </vt:variant>
      <vt:variant>
        <vt:i4>5</vt:i4>
      </vt:variant>
      <vt:variant>
        <vt:lpwstr>https://vpsc.vic.gov.au/resources/pre-employment-screening-misconduct-victorian-public-service/</vt:lpwstr>
      </vt:variant>
      <vt:variant>
        <vt:lpwstr/>
      </vt:variant>
      <vt:variant>
        <vt:i4>1769488</vt:i4>
      </vt:variant>
      <vt:variant>
        <vt:i4>3</vt:i4>
      </vt:variant>
      <vt:variant>
        <vt:i4>0</vt:i4>
      </vt:variant>
      <vt:variant>
        <vt:i4>5</vt:i4>
      </vt:variant>
      <vt:variant>
        <vt:lpwstr>https://vpsc.vic.gov.au/about-vpsc/legislative-framework-the-public-administration-act-2004/</vt:lpwstr>
      </vt:variant>
      <vt:variant>
        <vt:lpwstr/>
      </vt:variant>
      <vt:variant>
        <vt:i4>458820</vt:i4>
      </vt:variant>
      <vt:variant>
        <vt:i4>0</vt:i4>
      </vt:variant>
      <vt:variant>
        <vt:i4>0</vt:i4>
      </vt:variant>
      <vt:variant>
        <vt:i4>5</vt:i4>
      </vt:variant>
      <vt:variant>
        <vt:lpwstr>https://vpsc.vic.gov.au/resources/code-of-conduct-for-employees/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Coombs (VPSC)</dc:creator>
  <cp:keywords/>
  <dc:description/>
  <cp:lastModifiedBy>Joanna Zouki (VPSC)</cp:lastModifiedBy>
  <cp:revision>12</cp:revision>
  <dcterms:created xsi:type="dcterms:W3CDTF">2020-09-11T03:07:00Z</dcterms:created>
  <dcterms:modified xsi:type="dcterms:W3CDTF">2020-09-16T23:25:00Z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melissa.coombs@vpsc.vic.gov.au</vt:lpwstr>
  </property>
  <property fmtid="{D5CDD505-2E9C-101B-9397-08002B2CF9AE}" pid="5" name="MSIP_Label_7158ebbd-6c5e-441f-bfc9-4eb8c11e3978_SetDate">
    <vt:lpwstr>2020-04-17T04:19:33.6652109Z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0x0101002630DE6D3E49D14E9F1589506359F00B</vt:lpwstr>
  </property>
</Properties>
</file>