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A9C3" w14:textId="3A30DCC2" w:rsidR="00C80AB1" w:rsidRPr="009F6648" w:rsidRDefault="00B25446" w:rsidP="00062AF2">
      <w:pPr>
        <w:pStyle w:val="TCPTitle"/>
      </w:pPr>
      <w:bookmarkStart w:id="1" w:name="_Toc19713456"/>
      <w:r>
        <w:t>VPS Enterprise Agreement Common Policies</w:t>
      </w:r>
      <w:bookmarkEnd w:id="1"/>
    </w:p>
    <w:p w14:paraId="40745789" w14:textId="480744BC" w:rsidR="00C80AB1" w:rsidRPr="009F6648" w:rsidRDefault="00E60746" w:rsidP="00062AF2">
      <w:pPr>
        <w:pStyle w:val="TCPBookTitle"/>
      </w:pPr>
      <w:bookmarkStart w:id="2" w:name="_Toc19713457"/>
      <w:r>
        <w:t>redeployment</w:t>
      </w:r>
      <w:bookmarkEnd w:id="2"/>
    </w:p>
    <w:p w14:paraId="4A4EF75D" w14:textId="77777777" w:rsidR="009F6648" w:rsidRPr="005203B1" w:rsidRDefault="009F6648" w:rsidP="005203B1">
      <w:pPr>
        <w:pStyle w:val="TCPSeparator"/>
      </w:pPr>
    </w:p>
    <w:p w14:paraId="52748765" w14:textId="77777777" w:rsidR="00C27C8F" w:rsidRPr="0054255D" w:rsidRDefault="00E659B7" w:rsidP="00C27C8F">
      <w:pPr>
        <w:pStyle w:val="TCPTOCtitle"/>
      </w:pPr>
      <w:bookmarkStart w:id="3" w:name="_Toc19713458"/>
      <w:r>
        <w:t>Table of contents</w:t>
      </w:r>
      <w:bookmarkEnd w:id="3"/>
    </w:p>
    <w:p w14:paraId="459DF068" w14:textId="455B740C" w:rsidR="00353372" w:rsidRDefault="00353372">
      <w:pPr>
        <w:pStyle w:val="TOC1"/>
        <w:tabs>
          <w:tab w:val="right" w:pos="9060"/>
        </w:tabs>
        <w:rPr>
          <w:rFonts w:asciiTheme="minorHAnsi" w:eastAsiaTheme="minorEastAsia" w:hAnsiTheme="minorHAnsi" w:cstheme="minorBidi"/>
          <w:noProof/>
          <w:color w:val="auto"/>
          <w:lang w:eastAsia="en-AU"/>
        </w:rPr>
      </w:pPr>
      <w:r>
        <w:fldChar w:fldCharType="begin"/>
      </w:r>
      <w:r>
        <w:instrText xml:space="preserve"> TOC \o "1-3" \h \z \u </w:instrText>
      </w:r>
      <w:r>
        <w:fldChar w:fldCharType="separate"/>
      </w:r>
      <w:hyperlink w:anchor="_Toc19713459" w:history="1">
        <w:r w:rsidRPr="004F7724">
          <w:rPr>
            <w:rStyle w:val="Hyperlink"/>
            <w:noProof/>
          </w:rPr>
          <w:t>Authority and Application</w:t>
        </w:r>
        <w:r>
          <w:rPr>
            <w:noProof/>
            <w:webHidden/>
          </w:rPr>
          <w:tab/>
        </w:r>
        <w:r>
          <w:rPr>
            <w:noProof/>
            <w:webHidden/>
          </w:rPr>
          <w:fldChar w:fldCharType="begin"/>
        </w:r>
        <w:r>
          <w:rPr>
            <w:noProof/>
            <w:webHidden/>
          </w:rPr>
          <w:instrText xml:space="preserve"> PAGEREF _Toc19713459 \h </w:instrText>
        </w:r>
        <w:r>
          <w:rPr>
            <w:noProof/>
            <w:webHidden/>
          </w:rPr>
        </w:r>
        <w:r>
          <w:rPr>
            <w:noProof/>
            <w:webHidden/>
          </w:rPr>
          <w:fldChar w:fldCharType="separate"/>
        </w:r>
        <w:r>
          <w:rPr>
            <w:noProof/>
            <w:webHidden/>
          </w:rPr>
          <w:t>3</w:t>
        </w:r>
        <w:r>
          <w:rPr>
            <w:noProof/>
            <w:webHidden/>
          </w:rPr>
          <w:fldChar w:fldCharType="end"/>
        </w:r>
      </w:hyperlink>
    </w:p>
    <w:p w14:paraId="571CB187" w14:textId="2411FA75" w:rsidR="00353372" w:rsidRDefault="006B7B05">
      <w:pPr>
        <w:pStyle w:val="TOC1"/>
        <w:tabs>
          <w:tab w:val="right" w:pos="9060"/>
        </w:tabs>
        <w:rPr>
          <w:rFonts w:asciiTheme="minorHAnsi" w:eastAsiaTheme="minorEastAsia" w:hAnsiTheme="minorHAnsi" w:cstheme="minorBidi"/>
          <w:noProof/>
          <w:color w:val="auto"/>
          <w:lang w:eastAsia="en-AU"/>
        </w:rPr>
      </w:pPr>
      <w:hyperlink w:anchor="_Toc19713460" w:history="1">
        <w:r w:rsidR="00353372" w:rsidRPr="004F7724">
          <w:rPr>
            <w:rStyle w:val="Hyperlink"/>
            <w:noProof/>
          </w:rPr>
          <w:t>Overview</w:t>
        </w:r>
        <w:r w:rsidR="00353372">
          <w:rPr>
            <w:noProof/>
            <w:webHidden/>
          </w:rPr>
          <w:tab/>
        </w:r>
        <w:r w:rsidR="00353372">
          <w:rPr>
            <w:noProof/>
            <w:webHidden/>
          </w:rPr>
          <w:fldChar w:fldCharType="begin"/>
        </w:r>
        <w:r w:rsidR="00353372">
          <w:rPr>
            <w:noProof/>
            <w:webHidden/>
          </w:rPr>
          <w:instrText xml:space="preserve"> PAGEREF _Toc19713460 \h </w:instrText>
        </w:r>
        <w:r w:rsidR="00353372">
          <w:rPr>
            <w:noProof/>
            <w:webHidden/>
          </w:rPr>
        </w:r>
        <w:r w:rsidR="00353372">
          <w:rPr>
            <w:noProof/>
            <w:webHidden/>
          </w:rPr>
          <w:fldChar w:fldCharType="separate"/>
        </w:r>
        <w:r w:rsidR="00353372">
          <w:rPr>
            <w:noProof/>
            <w:webHidden/>
          </w:rPr>
          <w:t>3</w:t>
        </w:r>
        <w:r w:rsidR="00353372">
          <w:rPr>
            <w:noProof/>
            <w:webHidden/>
          </w:rPr>
          <w:fldChar w:fldCharType="end"/>
        </w:r>
      </w:hyperlink>
    </w:p>
    <w:p w14:paraId="02D36987" w14:textId="113D153C" w:rsidR="00353372" w:rsidRDefault="006B7B05">
      <w:pPr>
        <w:pStyle w:val="TOC1"/>
        <w:tabs>
          <w:tab w:val="right" w:pos="9060"/>
        </w:tabs>
        <w:rPr>
          <w:rFonts w:asciiTheme="minorHAnsi" w:eastAsiaTheme="minorEastAsia" w:hAnsiTheme="minorHAnsi" w:cstheme="minorBidi"/>
          <w:noProof/>
          <w:color w:val="auto"/>
          <w:lang w:eastAsia="en-AU"/>
        </w:rPr>
      </w:pPr>
      <w:hyperlink w:anchor="_Toc19713461" w:history="1">
        <w:r w:rsidR="00353372" w:rsidRPr="004F7724">
          <w:rPr>
            <w:rStyle w:val="Hyperlink"/>
            <w:noProof/>
          </w:rPr>
          <w:t>Relevant provisions of the VPS Enterprise Agreement</w:t>
        </w:r>
        <w:r w:rsidR="00353372">
          <w:rPr>
            <w:noProof/>
            <w:webHidden/>
          </w:rPr>
          <w:tab/>
        </w:r>
        <w:r w:rsidR="00353372">
          <w:rPr>
            <w:noProof/>
            <w:webHidden/>
          </w:rPr>
          <w:fldChar w:fldCharType="begin"/>
        </w:r>
        <w:r w:rsidR="00353372">
          <w:rPr>
            <w:noProof/>
            <w:webHidden/>
          </w:rPr>
          <w:instrText xml:space="preserve"> PAGEREF _Toc19713461 \h </w:instrText>
        </w:r>
        <w:r w:rsidR="00353372">
          <w:rPr>
            <w:noProof/>
            <w:webHidden/>
          </w:rPr>
        </w:r>
        <w:r w:rsidR="00353372">
          <w:rPr>
            <w:noProof/>
            <w:webHidden/>
          </w:rPr>
          <w:fldChar w:fldCharType="separate"/>
        </w:r>
        <w:r w:rsidR="00353372">
          <w:rPr>
            <w:noProof/>
            <w:webHidden/>
          </w:rPr>
          <w:t>4</w:t>
        </w:r>
        <w:r w:rsidR="00353372">
          <w:rPr>
            <w:noProof/>
            <w:webHidden/>
          </w:rPr>
          <w:fldChar w:fldCharType="end"/>
        </w:r>
      </w:hyperlink>
    </w:p>
    <w:p w14:paraId="03841F96" w14:textId="79B1B6B3" w:rsidR="00353372" w:rsidRDefault="006B7B05">
      <w:pPr>
        <w:pStyle w:val="TOC1"/>
        <w:tabs>
          <w:tab w:val="right" w:pos="9060"/>
        </w:tabs>
        <w:rPr>
          <w:rFonts w:asciiTheme="minorHAnsi" w:eastAsiaTheme="minorEastAsia" w:hAnsiTheme="minorHAnsi" w:cstheme="minorBidi"/>
          <w:noProof/>
          <w:color w:val="auto"/>
          <w:lang w:eastAsia="en-AU"/>
        </w:rPr>
      </w:pPr>
      <w:hyperlink w:anchor="_Toc19713462" w:history="1">
        <w:r w:rsidR="00353372" w:rsidRPr="004F7724">
          <w:rPr>
            <w:rStyle w:val="Hyperlink"/>
            <w:noProof/>
          </w:rPr>
          <w:t>Clause 19 – Redeployment</w:t>
        </w:r>
        <w:r w:rsidR="00353372">
          <w:rPr>
            <w:noProof/>
            <w:webHidden/>
          </w:rPr>
          <w:tab/>
        </w:r>
        <w:r w:rsidR="00353372">
          <w:rPr>
            <w:noProof/>
            <w:webHidden/>
          </w:rPr>
          <w:fldChar w:fldCharType="begin"/>
        </w:r>
        <w:r w:rsidR="00353372">
          <w:rPr>
            <w:noProof/>
            <w:webHidden/>
          </w:rPr>
          <w:instrText xml:space="preserve"> PAGEREF _Toc19713462 \h </w:instrText>
        </w:r>
        <w:r w:rsidR="00353372">
          <w:rPr>
            <w:noProof/>
            <w:webHidden/>
          </w:rPr>
        </w:r>
        <w:r w:rsidR="00353372">
          <w:rPr>
            <w:noProof/>
            <w:webHidden/>
          </w:rPr>
          <w:fldChar w:fldCharType="separate"/>
        </w:r>
        <w:r w:rsidR="00353372">
          <w:rPr>
            <w:noProof/>
            <w:webHidden/>
          </w:rPr>
          <w:t>4</w:t>
        </w:r>
        <w:r w:rsidR="00353372">
          <w:rPr>
            <w:noProof/>
            <w:webHidden/>
          </w:rPr>
          <w:fldChar w:fldCharType="end"/>
        </w:r>
      </w:hyperlink>
    </w:p>
    <w:p w14:paraId="7EBC722A" w14:textId="6866DCFA" w:rsidR="00353372" w:rsidRDefault="006B7B05">
      <w:pPr>
        <w:pStyle w:val="TOC1"/>
        <w:tabs>
          <w:tab w:val="right" w:pos="9060"/>
        </w:tabs>
        <w:rPr>
          <w:rFonts w:asciiTheme="minorHAnsi" w:eastAsiaTheme="minorEastAsia" w:hAnsiTheme="minorHAnsi" w:cstheme="minorBidi"/>
          <w:noProof/>
          <w:color w:val="auto"/>
          <w:lang w:eastAsia="en-AU"/>
        </w:rPr>
      </w:pPr>
      <w:hyperlink w:anchor="_Toc19713463" w:history="1">
        <w:r w:rsidR="00353372" w:rsidRPr="004F7724">
          <w:rPr>
            <w:rStyle w:val="Hyperlink"/>
            <w:noProof/>
          </w:rPr>
          <w:t>Schedule A – Redeployment</w:t>
        </w:r>
        <w:r w:rsidR="00353372">
          <w:rPr>
            <w:noProof/>
            <w:webHidden/>
          </w:rPr>
          <w:tab/>
        </w:r>
        <w:r w:rsidR="00353372">
          <w:rPr>
            <w:noProof/>
            <w:webHidden/>
          </w:rPr>
          <w:fldChar w:fldCharType="begin"/>
        </w:r>
        <w:r w:rsidR="00353372">
          <w:rPr>
            <w:noProof/>
            <w:webHidden/>
          </w:rPr>
          <w:instrText xml:space="preserve"> PAGEREF _Toc19713463 \h </w:instrText>
        </w:r>
        <w:r w:rsidR="00353372">
          <w:rPr>
            <w:noProof/>
            <w:webHidden/>
          </w:rPr>
        </w:r>
        <w:r w:rsidR="00353372">
          <w:rPr>
            <w:noProof/>
            <w:webHidden/>
          </w:rPr>
          <w:fldChar w:fldCharType="separate"/>
        </w:r>
        <w:r w:rsidR="00353372">
          <w:rPr>
            <w:noProof/>
            <w:webHidden/>
          </w:rPr>
          <w:t>4</w:t>
        </w:r>
        <w:r w:rsidR="00353372">
          <w:rPr>
            <w:noProof/>
            <w:webHidden/>
          </w:rPr>
          <w:fldChar w:fldCharType="end"/>
        </w:r>
      </w:hyperlink>
    </w:p>
    <w:p w14:paraId="1E74C0B1" w14:textId="03C376D1" w:rsidR="00353372" w:rsidRDefault="006B7B05">
      <w:pPr>
        <w:pStyle w:val="TOC1"/>
        <w:tabs>
          <w:tab w:val="right" w:pos="9060"/>
        </w:tabs>
        <w:rPr>
          <w:rFonts w:asciiTheme="minorHAnsi" w:eastAsiaTheme="minorEastAsia" w:hAnsiTheme="minorHAnsi" w:cstheme="minorBidi"/>
          <w:noProof/>
          <w:color w:val="auto"/>
          <w:lang w:eastAsia="en-AU"/>
        </w:rPr>
      </w:pPr>
      <w:hyperlink w:anchor="_Toc19713464" w:history="1">
        <w:r w:rsidR="00353372" w:rsidRPr="004F7724">
          <w:rPr>
            <w:rStyle w:val="Hyperlink"/>
            <w:noProof/>
          </w:rPr>
          <w:t>Supplementary guidance information</w:t>
        </w:r>
        <w:r w:rsidR="00353372">
          <w:rPr>
            <w:noProof/>
            <w:webHidden/>
          </w:rPr>
          <w:tab/>
        </w:r>
        <w:r w:rsidR="00353372">
          <w:rPr>
            <w:noProof/>
            <w:webHidden/>
          </w:rPr>
          <w:fldChar w:fldCharType="begin"/>
        </w:r>
        <w:r w:rsidR="00353372">
          <w:rPr>
            <w:noProof/>
            <w:webHidden/>
          </w:rPr>
          <w:instrText xml:space="preserve"> PAGEREF _Toc19713464 \h </w:instrText>
        </w:r>
        <w:r w:rsidR="00353372">
          <w:rPr>
            <w:noProof/>
            <w:webHidden/>
          </w:rPr>
        </w:r>
        <w:r w:rsidR="00353372">
          <w:rPr>
            <w:noProof/>
            <w:webHidden/>
          </w:rPr>
          <w:fldChar w:fldCharType="separate"/>
        </w:r>
        <w:r w:rsidR="00353372">
          <w:rPr>
            <w:noProof/>
            <w:webHidden/>
          </w:rPr>
          <w:t>5</w:t>
        </w:r>
        <w:r w:rsidR="00353372">
          <w:rPr>
            <w:noProof/>
            <w:webHidden/>
          </w:rPr>
          <w:fldChar w:fldCharType="end"/>
        </w:r>
      </w:hyperlink>
    </w:p>
    <w:p w14:paraId="00111235" w14:textId="50790C10"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65" w:history="1">
        <w:r w:rsidR="00353372" w:rsidRPr="00353372">
          <w:rPr>
            <w:rStyle w:val="Hyperlink"/>
            <w:b/>
            <w:noProof/>
          </w:rPr>
          <w:t>1.</w:t>
        </w:r>
        <w:r w:rsidR="00353372" w:rsidRPr="00353372">
          <w:rPr>
            <w:rFonts w:asciiTheme="minorHAnsi" w:eastAsiaTheme="minorEastAsia" w:hAnsiTheme="minorHAnsi" w:cstheme="minorBidi"/>
            <w:noProof/>
            <w:color w:val="auto"/>
            <w:lang w:eastAsia="en-AU"/>
          </w:rPr>
          <w:tab/>
        </w:r>
        <w:r w:rsidR="00353372" w:rsidRPr="00353372">
          <w:rPr>
            <w:rStyle w:val="Hyperlink"/>
            <w:noProof/>
          </w:rPr>
          <w:t>Public Administration Act 2004</w:t>
        </w:r>
        <w:r w:rsidR="00353372">
          <w:rPr>
            <w:noProof/>
            <w:webHidden/>
          </w:rPr>
          <w:tab/>
        </w:r>
        <w:r w:rsidR="00353372">
          <w:rPr>
            <w:noProof/>
            <w:webHidden/>
          </w:rPr>
          <w:fldChar w:fldCharType="begin"/>
        </w:r>
        <w:r w:rsidR="00353372">
          <w:rPr>
            <w:noProof/>
            <w:webHidden/>
          </w:rPr>
          <w:instrText xml:space="preserve"> PAGEREF _Toc19713465 \h </w:instrText>
        </w:r>
        <w:r w:rsidR="00353372">
          <w:rPr>
            <w:noProof/>
            <w:webHidden/>
          </w:rPr>
        </w:r>
        <w:r w:rsidR="00353372">
          <w:rPr>
            <w:noProof/>
            <w:webHidden/>
          </w:rPr>
          <w:fldChar w:fldCharType="separate"/>
        </w:r>
        <w:r w:rsidR="00353372">
          <w:rPr>
            <w:noProof/>
            <w:webHidden/>
          </w:rPr>
          <w:t>5</w:t>
        </w:r>
        <w:r w:rsidR="00353372">
          <w:rPr>
            <w:noProof/>
            <w:webHidden/>
          </w:rPr>
          <w:fldChar w:fldCharType="end"/>
        </w:r>
      </w:hyperlink>
    </w:p>
    <w:p w14:paraId="29F42ECE" w14:textId="33F02757"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66" w:history="1">
        <w:r w:rsidR="00353372" w:rsidRPr="004F7724">
          <w:rPr>
            <w:rStyle w:val="Hyperlink"/>
            <w:b/>
            <w:noProof/>
          </w:rPr>
          <w:t>2.</w:t>
        </w:r>
        <w:r w:rsidR="00353372">
          <w:rPr>
            <w:rFonts w:asciiTheme="minorHAnsi" w:eastAsiaTheme="minorEastAsia" w:hAnsiTheme="minorHAnsi" w:cstheme="minorBidi"/>
            <w:noProof/>
            <w:color w:val="auto"/>
            <w:lang w:eastAsia="en-AU"/>
          </w:rPr>
          <w:tab/>
        </w:r>
        <w:r w:rsidR="00353372" w:rsidRPr="004F7724">
          <w:rPr>
            <w:rStyle w:val="Hyperlink"/>
            <w:noProof/>
          </w:rPr>
          <w:t>Consultation</w:t>
        </w:r>
        <w:r w:rsidR="00353372">
          <w:rPr>
            <w:noProof/>
            <w:webHidden/>
          </w:rPr>
          <w:tab/>
        </w:r>
        <w:r w:rsidR="00353372">
          <w:rPr>
            <w:noProof/>
            <w:webHidden/>
          </w:rPr>
          <w:fldChar w:fldCharType="begin"/>
        </w:r>
        <w:r w:rsidR="00353372">
          <w:rPr>
            <w:noProof/>
            <w:webHidden/>
          </w:rPr>
          <w:instrText xml:space="preserve"> PAGEREF _Toc19713466 \h </w:instrText>
        </w:r>
        <w:r w:rsidR="00353372">
          <w:rPr>
            <w:noProof/>
            <w:webHidden/>
          </w:rPr>
        </w:r>
        <w:r w:rsidR="00353372">
          <w:rPr>
            <w:noProof/>
            <w:webHidden/>
          </w:rPr>
          <w:fldChar w:fldCharType="separate"/>
        </w:r>
        <w:r w:rsidR="00353372">
          <w:rPr>
            <w:noProof/>
            <w:webHidden/>
          </w:rPr>
          <w:t>5</w:t>
        </w:r>
        <w:r w:rsidR="00353372">
          <w:rPr>
            <w:noProof/>
            <w:webHidden/>
          </w:rPr>
          <w:fldChar w:fldCharType="end"/>
        </w:r>
      </w:hyperlink>
    </w:p>
    <w:p w14:paraId="17B46D7B" w14:textId="787FBDDC"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67" w:history="1">
        <w:r w:rsidR="00353372" w:rsidRPr="004F7724">
          <w:rPr>
            <w:rStyle w:val="Hyperlink"/>
            <w:b/>
            <w:noProof/>
          </w:rPr>
          <w:t>3.</w:t>
        </w:r>
        <w:r w:rsidR="00353372">
          <w:rPr>
            <w:rFonts w:asciiTheme="minorHAnsi" w:eastAsiaTheme="minorEastAsia" w:hAnsiTheme="minorHAnsi" w:cstheme="minorBidi"/>
            <w:noProof/>
            <w:color w:val="auto"/>
            <w:lang w:eastAsia="en-AU"/>
          </w:rPr>
          <w:tab/>
        </w:r>
        <w:r w:rsidR="00353372" w:rsidRPr="00353372">
          <w:rPr>
            <w:rStyle w:val="Hyperlink"/>
            <w:noProof/>
          </w:rPr>
          <w:t xml:space="preserve">Public Sector Industrial Relations Policies 2015 </w:t>
        </w:r>
        <w:r w:rsidR="00353372" w:rsidRPr="004F7724">
          <w:rPr>
            <w:rStyle w:val="Hyperlink"/>
            <w:noProof/>
          </w:rPr>
          <w:t>– VPS Redeployment Policies</w:t>
        </w:r>
        <w:r w:rsidR="00353372">
          <w:rPr>
            <w:noProof/>
            <w:webHidden/>
          </w:rPr>
          <w:tab/>
        </w:r>
        <w:r w:rsidR="00353372">
          <w:rPr>
            <w:noProof/>
            <w:webHidden/>
          </w:rPr>
          <w:fldChar w:fldCharType="begin"/>
        </w:r>
        <w:r w:rsidR="00353372">
          <w:rPr>
            <w:noProof/>
            <w:webHidden/>
          </w:rPr>
          <w:instrText xml:space="preserve"> PAGEREF _Toc19713467 \h </w:instrText>
        </w:r>
        <w:r w:rsidR="00353372">
          <w:rPr>
            <w:noProof/>
            <w:webHidden/>
          </w:rPr>
        </w:r>
        <w:r w:rsidR="00353372">
          <w:rPr>
            <w:noProof/>
            <w:webHidden/>
          </w:rPr>
          <w:fldChar w:fldCharType="separate"/>
        </w:r>
        <w:r w:rsidR="00353372">
          <w:rPr>
            <w:noProof/>
            <w:webHidden/>
          </w:rPr>
          <w:t>5</w:t>
        </w:r>
        <w:r w:rsidR="00353372">
          <w:rPr>
            <w:noProof/>
            <w:webHidden/>
          </w:rPr>
          <w:fldChar w:fldCharType="end"/>
        </w:r>
      </w:hyperlink>
    </w:p>
    <w:p w14:paraId="7FD8C439" w14:textId="394CB2B0"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68" w:history="1">
        <w:r w:rsidR="00353372" w:rsidRPr="004F7724">
          <w:rPr>
            <w:rStyle w:val="Hyperlink"/>
            <w:b/>
            <w:noProof/>
          </w:rPr>
          <w:t>4.</w:t>
        </w:r>
        <w:r w:rsidR="00353372">
          <w:rPr>
            <w:rFonts w:asciiTheme="minorHAnsi" w:eastAsiaTheme="minorEastAsia" w:hAnsiTheme="minorHAnsi" w:cstheme="minorBidi"/>
            <w:noProof/>
            <w:color w:val="auto"/>
            <w:lang w:eastAsia="en-AU"/>
          </w:rPr>
          <w:tab/>
        </w:r>
        <w:r w:rsidR="00353372" w:rsidRPr="004F7724">
          <w:rPr>
            <w:rStyle w:val="Hyperlink"/>
            <w:noProof/>
          </w:rPr>
          <w:t>Preparing for Redeployment</w:t>
        </w:r>
        <w:r w:rsidR="00353372">
          <w:rPr>
            <w:noProof/>
            <w:webHidden/>
          </w:rPr>
          <w:tab/>
        </w:r>
        <w:r w:rsidR="00353372">
          <w:rPr>
            <w:noProof/>
            <w:webHidden/>
          </w:rPr>
          <w:fldChar w:fldCharType="begin"/>
        </w:r>
        <w:r w:rsidR="00353372">
          <w:rPr>
            <w:noProof/>
            <w:webHidden/>
          </w:rPr>
          <w:instrText xml:space="preserve"> PAGEREF _Toc19713468 \h </w:instrText>
        </w:r>
        <w:r w:rsidR="00353372">
          <w:rPr>
            <w:noProof/>
            <w:webHidden/>
          </w:rPr>
        </w:r>
        <w:r w:rsidR="00353372">
          <w:rPr>
            <w:noProof/>
            <w:webHidden/>
          </w:rPr>
          <w:fldChar w:fldCharType="separate"/>
        </w:r>
        <w:r w:rsidR="00353372">
          <w:rPr>
            <w:noProof/>
            <w:webHidden/>
          </w:rPr>
          <w:t>5</w:t>
        </w:r>
        <w:r w:rsidR="00353372">
          <w:rPr>
            <w:noProof/>
            <w:webHidden/>
          </w:rPr>
          <w:fldChar w:fldCharType="end"/>
        </w:r>
      </w:hyperlink>
    </w:p>
    <w:p w14:paraId="39ECB5EB" w14:textId="31DBE4FF"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69" w:history="1">
        <w:r w:rsidR="00353372" w:rsidRPr="004F7724">
          <w:rPr>
            <w:rStyle w:val="Hyperlink"/>
            <w:b/>
            <w:noProof/>
          </w:rPr>
          <w:t>5.</w:t>
        </w:r>
        <w:r w:rsidR="00353372">
          <w:rPr>
            <w:rFonts w:asciiTheme="minorHAnsi" w:eastAsiaTheme="minorEastAsia" w:hAnsiTheme="minorHAnsi" w:cstheme="minorBidi"/>
            <w:noProof/>
            <w:color w:val="auto"/>
            <w:lang w:eastAsia="en-AU"/>
          </w:rPr>
          <w:tab/>
        </w:r>
        <w:r w:rsidR="00353372" w:rsidRPr="004F7724">
          <w:rPr>
            <w:rStyle w:val="Hyperlink"/>
            <w:noProof/>
          </w:rPr>
          <w:t>Redeployment Process</w:t>
        </w:r>
        <w:r w:rsidR="00353372">
          <w:rPr>
            <w:noProof/>
            <w:webHidden/>
          </w:rPr>
          <w:tab/>
        </w:r>
        <w:r w:rsidR="00353372">
          <w:rPr>
            <w:noProof/>
            <w:webHidden/>
          </w:rPr>
          <w:fldChar w:fldCharType="begin"/>
        </w:r>
        <w:r w:rsidR="00353372">
          <w:rPr>
            <w:noProof/>
            <w:webHidden/>
          </w:rPr>
          <w:instrText xml:space="preserve"> PAGEREF _Toc19713469 \h </w:instrText>
        </w:r>
        <w:r w:rsidR="00353372">
          <w:rPr>
            <w:noProof/>
            <w:webHidden/>
          </w:rPr>
        </w:r>
        <w:r w:rsidR="00353372">
          <w:rPr>
            <w:noProof/>
            <w:webHidden/>
          </w:rPr>
          <w:fldChar w:fldCharType="separate"/>
        </w:r>
        <w:r w:rsidR="00353372">
          <w:rPr>
            <w:noProof/>
            <w:webHidden/>
          </w:rPr>
          <w:t>6</w:t>
        </w:r>
        <w:r w:rsidR="00353372">
          <w:rPr>
            <w:noProof/>
            <w:webHidden/>
          </w:rPr>
          <w:fldChar w:fldCharType="end"/>
        </w:r>
      </w:hyperlink>
    </w:p>
    <w:p w14:paraId="490BD1E9" w14:textId="29735497"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70" w:history="1">
        <w:r w:rsidR="00353372" w:rsidRPr="004F7724">
          <w:rPr>
            <w:rStyle w:val="Hyperlink"/>
            <w:b/>
            <w:noProof/>
          </w:rPr>
          <w:t>6.</w:t>
        </w:r>
        <w:r w:rsidR="00353372">
          <w:rPr>
            <w:rFonts w:asciiTheme="minorHAnsi" w:eastAsiaTheme="minorEastAsia" w:hAnsiTheme="minorHAnsi" w:cstheme="minorBidi"/>
            <w:noProof/>
            <w:color w:val="auto"/>
            <w:lang w:eastAsia="en-AU"/>
          </w:rPr>
          <w:tab/>
        </w:r>
        <w:r w:rsidR="00353372" w:rsidRPr="004F7724">
          <w:rPr>
            <w:rStyle w:val="Hyperlink"/>
            <w:noProof/>
          </w:rPr>
          <w:t>Assessing a Redeployee’s suitability for a vacant position</w:t>
        </w:r>
        <w:r w:rsidR="00353372">
          <w:rPr>
            <w:noProof/>
            <w:webHidden/>
          </w:rPr>
          <w:tab/>
        </w:r>
        <w:r w:rsidR="00353372">
          <w:rPr>
            <w:noProof/>
            <w:webHidden/>
          </w:rPr>
          <w:fldChar w:fldCharType="begin"/>
        </w:r>
        <w:r w:rsidR="00353372">
          <w:rPr>
            <w:noProof/>
            <w:webHidden/>
          </w:rPr>
          <w:instrText xml:space="preserve"> PAGEREF _Toc19713470 \h </w:instrText>
        </w:r>
        <w:r w:rsidR="00353372">
          <w:rPr>
            <w:noProof/>
            <w:webHidden/>
          </w:rPr>
        </w:r>
        <w:r w:rsidR="00353372">
          <w:rPr>
            <w:noProof/>
            <w:webHidden/>
          </w:rPr>
          <w:fldChar w:fldCharType="separate"/>
        </w:r>
        <w:r w:rsidR="00353372">
          <w:rPr>
            <w:noProof/>
            <w:webHidden/>
          </w:rPr>
          <w:t>7</w:t>
        </w:r>
        <w:r w:rsidR="00353372">
          <w:rPr>
            <w:noProof/>
            <w:webHidden/>
          </w:rPr>
          <w:fldChar w:fldCharType="end"/>
        </w:r>
      </w:hyperlink>
    </w:p>
    <w:p w14:paraId="6580B3CE" w14:textId="14A707A5"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71" w:history="1">
        <w:r w:rsidR="00353372" w:rsidRPr="004F7724">
          <w:rPr>
            <w:rStyle w:val="Hyperlink"/>
            <w:b/>
            <w:noProof/>
          </w:rPr>
          <w:t>7.</w:t>
        </w:r>
        <w:r w:rsidR="00353372">
          <w:rPr>
            <w:rFonts w:asciiTheme="minorHAnsi" w:eastAsiaTheme="minorEastAsia" w:hAnsiTheme="minorHAnsi" w:cstheme="minorBidi"/>
            <w:noProof/>
            <w:color w:val="auto"/>
            <w:lang w:eastAsia="en-AU"/>
          </w:rPr>
          <w:tab/>
        </w:r>
        <w:r w:rsidR="00353372" w:rsidRPr="004F7724">
          <w:rPr>
            <w:rStyle w:val="Hyperlink"/>
            <w:noProof/>
          </w:rPr>
          <w:t>Offer of Valid Employment</w:t>
        </w:r>
        <w:r w:rsidR="00353372">
          <w:rPr>
            <w:noProof/>
            <w:webHidden/>
          </w:rPr>
          <w:tab/>
        </w:r>
        <w:r w:rsidR="00353372">
          <w:rPr>
            <w:noProof/>
            <w:webHidden/>
          </w:rPr>
          <w:fldChar w:fldCharType="begin"/>
        </w:r>
        <w:r w:rsidR="00353372">
          <w:rPr>
            <w:noProof/>
            <w:webHidden/>
          </w:rPr>
          <w:instrText xml:space="preserve"> PAGEREF _Toc19713471 \h </w:instrText>
        </w:r>
        <w:r w:rsidR="00353372">
          <w:rPr>
            <w:noProof/>
            <w:webHidden/>
          </w:rPr>
        </w:r>
        <w:r w:rsidR="00353372">
          <w:rPr>
            <w:noProof/>
            <w:webHidden/>
          </w:rPr>
          <w:fldChar w:fldCharType="separate"/>
        </w:r>
        <w:r w:rsidR="00353372">
          <w:rPr>
            <w:noProof/>
            <w:webHidden/>
          </w:rPr>
          <w:t>7</w:t>
        </w:r>
        <w:r w:rsidR="00353372">
          <w:rPr>
            <w:noProof/>
            <w:webHidden/>
          </w:rPr>
          <w:fldChar w:fldCharType="end"/>
        </w:r>
      </w:hyperlink>
    </w:p>
    <w:p w14:paraId="157ECFB6" w14:textId="4801BDB9"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72" w:history="1">
        <w:r w:rsidR="00353372" w:rsidRPr="004F7724">
          <w:rPr>
            <w:rStyle w:val="Hyperlink"/>
            <w:b/>
            <w:noProof/>
          </w:rPr>
          <w:t>8.</w:t>
        </w:r>
        <w:r w:rsidR="00353372">
          <w:rPr>
            <w:rFonts w:asciiTheme="minorHAnsi" w:eastAsiaTheme="minorEastAsia" w:hAnsiTheme="minorHAnsi" w:cstheme="minorBidi"/>
            <w:noProof/>
            <w:color w:val="auto"/>
            <w:lang w:eastAsia="en-AU"/>
          </w:rPr>
          <w:tab/>
        </w:r>
        <w:r w:rsidR="00353372" w:rsidRPr="004F7724">
          <w:rPr>
            <w:rStyle w:val="Hyperlink"/>
            <w:noProof/>
          </w:rPr>
          <w:t xml:space="preserve">Assignment/Secondment to a specific term vacancy of up to three </w:t>
        </w:r>
        <w:r w:rsidR="00353372">
          <w:rPr>
            <w:rStyle w:val="Hyperlink"/>
            <w:noProof/>
          </w:rPr>
          <w:br/>
        </w:r>
        <w:r w:rsidR="00353372" w:rsidRPr="004F7724">
          <w:rPr>
            <w:rStyle w:val="Hyperlink"/>
            <w:noProof/>
          </w:rPr>
          <w:t>months</w:t>
        </w:r>
        <w:r w:rsidR="00353372">
          <w:rPr>
            <w:noProof/>
            <w:webHidden/>
          </w:rPr>
          <w:tab/>
        </w:r>
        <w:r w:rsidR="00353372">
          <w:rPr>
            <w:noProof/>
            <w:webHidden/>
          </w:rPr>
          <w:fldChar w:fldCharType="begin"/>
        </w:r>
        <w:r w:rsidR="00353372">
          <w:rPr>
            <w:noProof/>
            <w:webHidden/>
          </w:rPr>
          <w:instrText xml:space="preserve"> PAGEREF _Toc19713472 \h </w:instrText>
        </w:r>
        <w:r w:rsidR="00353372">
          <w:rPr>
            <w:noProof/>
            <w:webHidden/>
          </w:rPr>
        </w:r>
        <w:r w:rsidR="00353372">
          <w:rPr>
            <w:noProof/>
            <w:webHidden/>
          </w:rPr>
          <w:fldChar w:fldCharType="separate"/>
        </w:r>
        <w:r w:rsidR="00353372">
          <w:rPr>
            <w:noProof/>
            <w:webHidden/>
          </w:rPr>
          <w:t>8</w:t>
        </w:r>
        <w:r w:rsidR="00353372">
          <w:rPr>
            <w:noProof/>
            <w:webHidden/>
          </w:rPr>
          <w:fldChar w:fldCharType="end"/>
        </w:r>
      </w:hyperlink>
    </w:p>
    <w:p w14:paraId="3CF345D8" w14:textId="51C11E56"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73" w:history="1">
        <w:r w:rsidR="00353372" w:rsidRPr="004F7724">
          <w:rPr>
            <w:rStyle w:val="Hyperlink"/>
            <w:b/>
            <w:noProof/>
          </w:rPr>
          <w:t>9.</w:t>
        </w:r>
        <w:r w:rsidR="00353372">
          <w:rPr>
            <w:rFonts w:asciiTheme="minorHAnsi" w:eastAsiaTheme="minorEastAsia" w:hAnsiTheme="minorHAnsi" w:cstheme="minorBidi"/>
            <w:noProof/>
            <w:color w:val="auto"/>
            <w:lang w:eastAsia="en-AU"/>
          </w:rPr>
          <w:tab/>
        </w:r>
        <w:r w:rsidR="00353372" w:rsidRPr="004F7724">
          <w:rPr>
            <w:rStyle w:val="Hyperlink"/>
            <w:noProof/>
          </w:rPr>
          <w:t>Assignment/Secondment to a specific term vacancy of more than three months</w:t>
        </w:r>
        <w:r w:rsidR="00353372">
          <w:rPr>
            <w:noProof/>
            <w:webHidden/>
          </w:rPr>
          <w:tab/>
        </w:r>
        <w:r w:rsidR="00353372">
          <w:rPr>
            <w:noProof/>
            <w:webHidden/>
          </w:rPr>
          <w:fldChar w:fldCharType="begin"/>
        </w:r>
        <w:r w:rsidR="00353372">
          <w:rPr>
            <w:noProof/>
            <w:webHidden/>
          </w:rPr>
          <w:instrText xml:space="preserve"> PAGEREF _Toc19713473 \h </w:instrText>
        </w:r>
        <w:r w:rsidR="00353372">
          <w:rPr>
            <w:noProof/>
            <w:webHidden/>
          </w:rPr>
        </w:r>
        <w:r w:rsidR="00353372">
          <w:rPr>
            <w:noProof/>
            <w:webHidden/>
          </w:rPr>
          <w:fldChar w:fldCharType="separate"/>
        </w:r>
        <w:r w:rsidR="00353372">
          <w:rPr>
            <w:noProof/>
            <w:webHidden/>
          </w:rPr>
          <w:t>8</w:t>
        </w:r>
        <w:r w:rsidR="00353372">
          <w:rPr>
            <w:noProof/>
            <w:webHidden/>
          </w:rPr>
          <w:fldChar w:fldCharType="end"/>
        </w:r>
      </w:hyperlink>
    </w:p>
    <w:p w14:paraId="5BCB494E" w14:textId="6A6697FF" w:rsidR="00353372" w:rsidRDefault="006B7B05">
      <w:pPr>
        <w:pStyle w:val="TOC2"/>
        <w:tabs>
          <w:tab w:val="left" w:pos="1100"/>
          <w:tab w:val="right" w:pos="9060"/>
        </w:tabs>
        <w:rPr>
          <w:rFonts w:asciiTheme="minorHAnsi" w:eastAsiaTheme="minorEastAsia" w:hAnsiTheme="minorHAnsi" w:cstheme="minorBidi"/>
          <w:noProof/>
          <w:color w:val="auto"/>
          <w:lang w:eastAsia="en-AU"/>
        </w:rPr>
      </w:pPr>
      <w:hyperlink w:anchor="_Toc19713474" w:history="1">
        <w:r w:rsidR="00353372" w:rsidRPr="004F7724">
          <w:rPr>
            <w:rStyle w:val="Hyperlink"/>
            <w:b/>
            <w:noProof/>
          </w:rPr>
          <w:t>10.</w:t>
        </w:r>
        <w:r w:rsidR="00353372">
          <w:rPr>
            <w:rFonts w:asciiTheme="minorHAnsi" w:eastAsiaTheme="minorEastAsia" w:hAnsiTheme="minorHAnsi" w:cstheme="minorBidi"/>
            <w:noProof/>
            <w:color w:val="auto"/>
            <w:lang w:eastAsia="en-AU"/>
          </w:rPr>
          <w:tab/>
        </w:r>
        <w:r w:rsidR="00353372" w:rsidRPr="004F7724">
          <w:rPr>
            <w:rStyle w:val="Hyperlink"/>
            <w:noProof/>
          </w:rPr>
          <w:t>Applications for leave during the redeployment process</w:t>
        </w:r>
        <w:r w:rsidR="00353372">
          <w:rPr>
            <w:noProof/>
            <w:webHidden/>
          </w:rPr>
          <w:tab/>
        </w:r>
        <w:r w:rsidR="00353372">
          <w:rPr>
            <w:noProof/>
            <w:webHidden/>
          </w:rPr>
          <w:fldChar w:fldCharType="begin"/>
        </w:r>
        <w:r w:rsidR="00353372">
          <w:rPr>
            <w:noProof/>
            <w:webHidden/>
          </w:rPr>
          <w:instrText xml:space="preserve"> PAGEREF _Toc19713474 \h </w:instrText>
        </w:r>
        <w:r w:rsidR="00353372">
          <w:rPr>
            <w:noProof/>
            <w:webHidden/>
          </w:rPr>
        </w:r>
        <w:r w:rsidR="00353372">
          <w:rPr>
            <w:noProof/>
            <w:webHidden/>
          </w:rPr>
          <w:fldChar w:fldCharType="separate"/>
        </w:r>
        <w:r w:rsidR="00353372">
          <w:rPr>
            <w:noProof/>
            <w:webHidden/>
          </w:rPr>
          <w:t>8</w:t>
        </w:r>
        <w:r w:rsidR="00353372">
          <w:rPr>
            <w:noProof/>
            <w:webHidden/>
          </w:rPr>
          <w:fldChar w:fldCharType="end"/>
        </w:r>
      </w:hyperlink>
    </w:p>
    <w:p w14:paraId="20C82D60" w14:textId="081833AD" w:rsidR="00353372" w:rsidRDefault="006B7B05">
      <w:pPr>
        <w:pStyle w:val="TOC2"/>
        <w:tabs>
          <w:tab w:val="left" w:pos="908"/>
          <w:tab w:val="right" w:pos="9060"/>
        </w:tabs>
        <w:rPr>
          <w:rFonts w:asciiTheme="minorHAnsi" w:eastAsiaTheme="minorEastAsia" w:hAnsiTheme="minorHAnsi" w:cstheme="minorBidi"/>
          <w:noProof/>
          <w:color w:val="auto"/>
          <w:lang w:eastAsia="en-AU"/>
        </w:rPr>
      </w:pPr>
      <w:hyperlink w:anchor="_Toc19713475" w:history="1">
        <w:r w:rsidR="00353372" w:rsidRPr="004F7724">
          <w:rPr>
            <w:rStyle w:val="Hyperlink"/>
            <w:b/>
            <w:noProof/>
          </w:rPr>
          <w:t>11.</w:t>
        </w:r>
        <w:r w:rsidR="00353372">
          <w:rPr>
            <w:rFonts w:asciiTheme="minorHAnsi" w:eastAsiaTheme="minorEastAsia" w:hAnsiTheme="minorHAnsi" w:cstheme="minorBidi"/>
            <w:noProof/>
            <w:color w:val="auto"/>
            <w:lang w:eastAsia="en-AU"/>
          </w:rPr>
          <w:tab/>
        </w:r>
        <w:r w:rsidR="00353372" w:rsidRPr="004F7724">
          <w:rPr>
            <w:rStyle w:val="Hyperlink"/>
            <w:noProof/>
          </w:rPr>
          <w:t>End of the redeployment process</w:t>
        </w:r>
        <w:r w:rsidR="00353372">
          <w:rPr>
            <w:noProof/>
            <w:webHidden/>
          </w:rPr>
          <w:tab/>
        </w:r>
        <w:r w:rsidR="00353372">
          <w:rPr>
            <w:noProof/>
            <w:webHidden/>
          </w:rPr>
          <w:fldChar w:fldCharType="begin"/>
        </w:r>
        <w:r w:rsidR="00353372">
          <w:rPr>
            <w:noProof/>
            <w:webHidden/>
          </w:rPr>
          <w:instrText xml:space="preserve"> PAGEREF _Toc19713475 \h </w:instrText>
        </w:r>
        <w:r w:rsidR="00353372">
          <w:rPr>
            <w:noProof/>
            <w:webHidden/>
          </w:rPr>
        </w:r>
        <w:r w:rsidR="00353372">
          <w:rPr>
            <w:noProof/>
            <w:webHidden/>
          </w:rPr>
          <w:fldChar w:fldCharType="separate"/>
        </w:r>
        <w:r w:rsidR="00353372">
          <w:rPr>
            <w:noProof/>
            <w:webHidden/>
          </w:rPr>
          <w:t>9</w:t>
        </w:r>
        <w:r w:rsidR="00353372">
          <w:rPr>
            <w:noProof/>
            <w:webHidden/>
          </w:rPr>
          <w:fldChar w:fldCharType="end"/>
        </w:r>
      </w:hyperlink>
    </w:p>
    <w:p w14:paraId="3A816EE7" w14:textId="7BE9D167" w:rsidR="00353372" w:rsidRDefault="006B7B05">
      <w:pPr>
        <w:pStyle w:val="TOC2"/>
        <w:tabs>
          <w:tab w:val="right" w:pos="9060"/>
        </w:tabs>
        <w:rPr>
          <w:rFonts w:asciiTheme="minorHAnsi" w:eastAsiaTheme="minorEastAsia" w:hAnsiTheme="minorHAnsi" w:cstheme="minorBidi"/>
          <w:noProof/>
          <w:color w:val="auto"/>
          <w:lang w:eastAsia="en-AU"/>
        </w:rPr>
      </w:pPr>
      <w:hyperlink w:anchor="_Toc19713476" w:history="1">
        <w:r w:rsidR="00353372" w:rsidRPr="004F7724">
          <w:rPr>
            <w:rStyle w:val="Hyperlink"/>
            <w:noProof/>
          </w:rPr>
          <w:t>Making decisions under this policy</w:t>
        </w:r>
        <w:r w:rsidR="00353372">
          <w:rPr>
            <w:noProof/>
            <w:webHidden/>
          </w:rPr>
          <w:tab/>
        </w:r>
        <w:r w:rsidR="00353372">
          <w:rPr>
            <w:noProof/>
            <w:webHidden/>
          </w:rPr>
          <w:fldChar w:fldCharType="begin"/>
        </w:r>
        <w:r w:rsidR="00353372">
          <w:rPr>
            <w:noProof/>
            <w:webHidden/>
          </w:rPr>
          <w:instrText xml:space="preserve"> PAGEREF _Toc19713476 \h </w:instrText>
        </w:r>
        <w:r w:rsidR="00353372">
          <w:rPr>
            <w:noProof/>
            <w:webHidden/>
          </w:rPr>
        </w:r>
        <w:r w:rsidR="00353372">
          <w:rPr>
            <w:noProof/>
            <w:webHidden/>
          </w:rPr>
          <w:fldChar w:fldCharType="separate"/>
        </w:r>
        <w:r w:rsidR="00353372">
          <w:rPr>
            <w:noProof/>
            <w:webHidden/>
          </w:rPr>
          <w:t>9</w:t>
        </w:r>
        <w:r w:rsidR="00353372">
          <w:rPr>
            <w:noProof/>
            <w:webHidden/>
          </w:rPr>
          <w:fldChar w:fldCharType="end"/>
        </w:r>
      </w:hyperlink>
    </w:p>
    <w:p w14:paraId="12886225" w14:textId="07114349" w:rsidR="00353372" w:rsidRDefault="006B7B05">
      <w:pPr>
        <w:pStyle w:val="TOC2"/>
        <w:tabs>
          <w:tab w:val="right" w:pos="9060"/>
        </w:tabs>
        <w:rPr>
          <w:rFonts w:asciiTheme="minorHAnsi" w:eastAsiaTheme="minorEastAsia" w:hAnsiTheme="minorHAnsi" w:cstheme="minorBidi"/>
          <w:noProof/>
          <w:color w:val="auto"/>
          <w:lang w:eastAsia="en-AU"/>
        </w:rPr>
      </w:pPr>
      <w:hyperlink w:anchor="_Toc19713477" w:history="1">
        <w:r w:rsidR="00353372" w:rsidRPr="004F7724">
          <w:rPr>
            <w:rStyle w:val="Hyperlink"/>
            <w:noProof/>
          </w:rPr>
          <w:t>Dispute resolution</w:t>
        </w:r>
        <w:r w:rsidR="00353372">
          <w:rPr>
            <w:noProof/>
            <w:webHidden/>
          </w:rPr>
          <w:tab/>
        </w:r>
        <w:r w:rsidR="00353372">
          <w:rPr>
            <w:noProof/>
            <w:webHidden/>
          </w:rPr>
          <w:fldChar w:fldCharType="begin"/>
        </w:r>
        <w:r w:rsidR="00353372">
          <w:rPr>
            <w:noProof/>
            <w:webHidden/>
          </w:rPr>
          <w:instrText xml:space="preserve"> PAGEREF _Toc19713477 \h </w:instrText>
        </w:r>
        <w:r w:rsidR="00353372">
          <w:rPr>
            <w:noProof/>
            <w:webHidden/>
          </w:rPr>
        </w:r>
        <w:r w:rsidR="00353372">
          <w:rPr>
            <w:noProof/>
            <w:webHidden/>
          </w:rPr>
          <w:fldChar w:fldCharType="separate"/>
        </w:r>
        <w:r w:rsidR="00353372">
          <w:rPr>
            <w:noProof/>
            <w:webHidden/>
          </w:rPr>
          <w:t>10</w:t>
        </w:r>
        <w:r w:rsidR="00353372">
          <w:rPr>
            <w:noProof/>
            <w:webHidden/>
          </w:rPr>
          <w:fldChar w:fldCharType="end"/>
        </w:r>
      </w:hyperlink>
    </w:p>
    <w:p w14:paraId="1529F132" w14:textId="3F0822E7" w:rsidR="00353372" w:rsidRDefault="006B7B05">
      <w:pPr>
        <w:pStyle w:val="TOC1"/>
        <w:tabs>
          <w:tab w:val="right" w:pos="9060"/>
        </w:tabs>
        <w:rPr>
          <w:rFonts w:asciiTheme="minorHAnsi" w:eastAsiaTheme="minorEastAsia" w:hAnsiTheme="minorHAnsi" w:cstheme="minorBidi"/>
          <w:noProof/>
          <w:color w:val="auto"/>
          <w:lang w:eastAsia="en-AU"/>
        </w:rPr>
      </w:pPr>
      <w:hyperlink w:anchor="_Toc19713478" w:history="1">
        <w:r w:rsidR="00353372" w:rsidRPr="004F7724">
          <w:rPr>
            <w:rStyle w:val="Hyperlink"/>
            <w:noProof/>
          </w:rPr>
          <w:t>Further Information</w:t>
        </w:r>
        <w:r w:rsidR="00353372">
          <w:rPr>
            <w:noProof/>
            <w:webHidden/>
          </w:rPr>
          <w:tab/>
        </w:r>
        <w:r w:rsidR="00353372">
          <w:rPr>
            <w:noProof/>
            <w:webHidden/>
          </w:rPr>
          <w:fldChar w:fldCharType="begin"/>
        </w:r>
        <w:r w:rsidR="00353372">
          <w:rPr>
            <w:noProof/>
            <w:webHidden/>
          </w:rPr>
          <w:instrText xml:space="preserve"> PAGEREF _Toc19713478 \h </w:instrText>
        </w:r>
        <w:r w:rsidR="00353372">
          <w:rPr>
            <w:noProof/>
            <w:webHidden/>
          </w:rPr>
        </w:r>
        <w:r w:rsidR="00353372">
          <w:rPr>
            <w:noProof/>
            <w:webHidden/>
          </w:rPr>
          <w:fldChar w:fldCharType="separate"/>
        </w:r>
        <w:r w:rsidR="00353372">
          <w:rPr>
            <w:noProof/>
            <w:webHidden/>
          </w:rPr>
          <w:t>10</w:t>
        </w:r>
        <w:r w:rsidR="00353372">
          <w:rPr>
            <w:noProof/>
            <w:webHidden/>
          </w:rPr>
          <w:fldChar w:fldCharType="end"/>
        </w:r>
      </w:hyperlink>
    </w:p>
    <w:p w14:paraId="0516D725" w14:textId="60F10F48" w:rsidR="00353372" w:rsidRDefault="006B7B05">
      <w:pPr>
        <w:pStyle w:val="TOC1"/>
        <w:tabs>
          <w:tab w:val="right" w:pos="9060"/>
        </w:tabs>
        <w:rPr>
          <w:rFonts w:asciiTheme="minorHAnsi" w:eastAsiaTheme="minorEastAsia" w:hAnsiTheme="minorHAnsi" w:cstheme="minorBidi"/>
          <w:noProof/>
          <w:color w:val="auto"/>
          <w:lang w:eastAsia="en-AU"/>
        </w:rPr>
      </w:pPr>
      <w:hyperlink w:anchor="_Toc19713479" w:history="1">
        <w:r w:rsidR="00353372" w:rsidRPr="004F7724">
          <w:rPr>
            <w:rStyle w:val="Hyperlink"/>
            <w:noProof/>
          </w:rPr>
          <w:t>Related policies or documents</w:t>
        </w:r>
        <w:r w:rsidR="00353372">
          <w:rPr>
            <w:noProof/>
            <w:webHidden/>
          </w:rPr>
          <w:tab/>
        </w:r>
        <w:r w:rsidR="00353372">
          <w:rPr>
            <w:noProof/>
            <w:webHidden/>
          </w:rPr>
          <w:fldChar w:fldCharType="begin"/>
        </w:r>
        <w:r w:rsidR="00353372">
          <w:rPr>
            <w:noProof/>
            <w:webHidden/>
          </w:rPr>
          <w:instrText xml:space="preserve"> PAGEREF _Toc19713479 \h </w:instrText>
        </w:r>
        <w:r w:rsidR="00353372">
          <w:rPr>
            <w:noProof/>
            <w:webHidden/>
          </w:rPr>
        </w:r>
        <w:r w:rsidR="00353372">
          <w:rPr>
            <w:noProof/>
            <w:webHidden/>
          </w:rPr>
          <w:fldChar w:fldCharType="separate"/>
        </w:r>
        <w:r w:rsidR="00353372">
          <w:rPr>
            <w:noProof/>
            <w:webHidden/>
          </w:rPr>
          <w:t>10</w:t>
        </w:r>
        <w:r w:rsidR="00353372">
          <w:rPr>
            <w:noProof/>
            <w:webHidden/>
          </w:rPr>
          <w:fldChar w:fldCharType="end"/>
        </w:r>
      </w:hyperlink>
    </w:p>
    <w:p w14:paraId="3EBD7D8D" w14:textId="71730E37" w:rsidR="007468F6" w:rsidRDefault="00353372" w:rsidP="00264F87">
      <w:pPr>
        <w:pStyle w:val="TCPBodyNormal"/>
      </w:pPr>
      <w:r>
        <w:fldChar w:fldCharType="end"/>
      </w:r>
    </w:p>
    <w:p w14:paraId="06867320" w14:textId="582F42EA" w:rsidR="007468F6" w:rsidRDefault="007468F6">
      <w:pPr>
        <w:spacing w:after="0"/>
        <w:rPr>
          <w:b/>
          <w:color w:val="004C97"/>
          <w:sz w:val="28"/>
          <w:szCs w:val="28"/>
        </w:rPr>
      </w:pPr>
      <w:r>
        <w:rPr>
          <w:sz w:val="28"/>
          <w:szCs w:val="28"/>
        </w:rPr>
        <w:br w:type="page"/>
      </w:r>
    </w:p>
    <w:p w14:paraId="6EFB517D" w14:textId="77777777" w:rsidR="007468F6" w:rsidRDefault="007468F6" w:rsidP="007468F6">
      <w:pPr>
        <w:pStyle w:val="TCPHeading1"/>
        <w:keepNext/>
      </w:pPr>
      <w:bookmarkStart w:id="4" w:name="_Toc524971131"/>
      <w:bookmarkStart w:id="5" w:name="_Toc19700253"/>
      <w:bookmarkStart w:id="6" w:name="_Toc19713459"/>
      <w:r>
        <w:lastRenderedPageBreak/>
        <w:t>Authority and Application</w:t>
      </w:r>
      <w:bookmarkEnd w:id="4"/>
      <w:bookmarkEnd w:id="5"/>
      <w:bookmarkEnd w:id="6"/>
    </w:p>
    <w:p w14:paraId="26730FEF" w14:textId="77777777" w:rsidR="00E60746" w:rsidRDefault="00E60746" w:rsidP="00E60746">
      <w:pPr>
        <w:pStyle w:val="bodycopy"/>
        <w:spacing w:before="120"/>
        <w:jc w:val="both"/>
      </w:pPr>
      <w:bookmarkStart w:id="7" w:name="_Toc524971132"/>
      <w:r>
        <w:t xml:space="preserve">Clause 19, Redeployment, of the </w:t>
      </w:r>
      <w:r w:rsidRPr="000A2BF8">
        <w:rPr>
          <w:i/>
        </w:rPr>
        <w:t xml:space="preserve">Victorian Public Service Enterprise Agreement 2016 </w:t>
      </w:r>
      <w:r w:rsidRPr="000A2BF8">
        <w:t>(</w:t>
      </w:r>
      <w:r>
        <w:t>the</w:t>
      </w:r>
      <w:r w:rsidRPr="000A2BF8">
        <w:t xml:space="preserve"> </w:t>
      </w:r>
      <w:r>
        <w:t xml:space="preserve">VPS </w:t>
      </w:r>
      <w:r w:rsidRPr="000A2BF8">
        <w:t>Agreement)</w:t>
      </w:r>
      <w:r>
        <w:t>, applies to Victorian Public Service (VPS) departments and agencies (Employers) and their Employees covered by the VPS Agreement.</w:t>
      </w:r>
    </w:p>
    <w:p w14:paraId="27370AB5" w14:textId="77777777" w:rsidR="00E60746" w:rsidRDefault="00E60746" w:rsidP="00E60746">
      <w:pPr>
        <w:pStyle w:val="bodycopy"/>
        <w:spacing w:before="120"/>
        <w:jc w:val="both"/>
      </w:pPr>
      <w:r>
        <w:t>In accordance with Part 6, Redundancy and Other Matters, of the</w:t>
      </w:r>
      <w:r w:rsidRPr="008A2AC4">
        <w:rPr>
          <w:i/>
        </w:rPr>
        <w:t xml:space="preserve"> </w:t>
      </w:r>
      <w:r w:rsidRPr="00C553FA">
        <w:rPr>
          <w:i/>
        </w:rPr>
        <w:t>Public Sector Industrial Relations Policies 2015</w:t>
      </w:r>
      <w:r>
        <w:t xml:space="preserve"> (IR Policies), which applies to all departments and public sector bodies of the State of Victoria, including those covered by the Agreement, unless otherwise approved, casual and fixed term contract Employees are not entitled to redeployment. </w:t>
      </w:r>
    </w:p>
    <w:p w14:paraId="05A29527" w14:textId="77777777" w:rsidR="00E60746" w:rsidRDefault="00E60746" w:rsidP="00E60746">
      <w:pPr>
        <w:pStyle w:val="bodycopy"/>
        <w:spacing w:before="120"/>
        <w:jc w:val="both"/>
      </w:pPr>
      <w:r>
        <w:t>This Policy applies to an Employee who occupies a position that has been declared surplus. This may occur, for example, as a result of:</w:t>
      </w:r>
    </w:p>
    <w:p w14:paraId="4940B303" w14:textId="77777777" w:rsidR="00E60746" w:rsidRDefault="00E60746" w:rsidP="00E60746">
      <w:pPr>
        <w:pStyle w:val="bodycopy"/>
        <w:numPr>
          <w:ilvl w:val="0"/>
          <w:numId w:val="31"/>
        </w:numPr>
      </w:pPr>
      <w:r>
        <w:t>an organisational restructure or implementation of operational change, where the Employee’s role is considered surplus to the business or operational requirements;</w:t>
      </w:r>
    </w:p>
    <w:p w14:paraId="52205C9F" w14:textId="77777777" w:rsidR="00E60746" w:rsidRDefault="00E60746" w:rsidP="00E60746">
      <w:pPr>
        <w:pStyle w:val="bodycopy"/>
        <w:numPr>
          <w:ilvl w:val="0"/>
          <w:numId w:val="31"/>
        </w:numPr>
      </w:pPr>
      <w:r>
        <w:t xml:space="preserve">cessation of funding for a particular role or the function is no longer required due to new technology; </w:t>
      </w:r>
    </w:p>
    <w:p w14:paraId="3E8E1422" w14:textId="77777777" w:rsidR="00E60746" w:rsidRDefault="00E60746" w:rsidP="00E60746">
      <w:pPr>
        <w:pStyle w:val="bodycopy"/>
        <w:numPr>
          <w:ilvl w:val="0"/>
          <w:numId w:val="31"/>
        </w:numPr>
      </w:pPr>
      <w:r>
        <w:t>reduced availability of work or volume of work; or</w:t>
      </w:r>
    </w:p>
    <w:p w14:paraId="509C6E16" w14:textId="235BA02D" w:rsidR="00E655EE" w:rsidRPr="00E60746" w:rsidRDefault="00E60746" w:rsidP="00E60746">
      <w:pPr>
        <w:pStyle w:val="bodycopy"/>
        <w:numPr>
          <w:ilvl w:val="0"/>
          <w:numId w:val="31"/>
        </w:numPr>
      </w:pPr>
      <w:r>
        <w:t>changes in government priorities.</w:t>
      </w:r>
      <w:r w:rsidR="00E655EE" w:rsidRPr="00E60746">
        <w:t xml:space="preserve"> </w:t>
      </w:r>
    </w:p>
    <w:p w14:paraId="4514A8D2" w14:textId="5A55D494" w:rsidR="007468F6" w:rsidRDefault="007468F6" w:rsidP="00BB3781">
      <w:pPr>
        <w:pStyle w:val="TCPHeading1"/>
        <w:keepNext/>
      </w:pPr>
      <w:bookmarkStart w:id="8" w:name="_Toc19700254"/>
      <w:bookmarkStart w:id="9" w:name="_Toc19713460"/>
      <w:r>
        <w:t>Overview</w:t>
      </w:r>
      <w:bookmarkEnd w:id="7"/>
      <w:bookmarkEnd w:id="8"/>
      <w:bookmarkEnd w:id="9"/>
    </w:p>
    <w:p w14:paraId="09261DF8" w14:textId="77777777" w:rsidR="00E60746" w:rsidRPr="00E60746" w:rsidRDefault="00E60746" w:rsidP="006E3BEC">
      <w:pPr>
        <w:pStyle w:val="bodycopy"/>
        <w:rPr>
          <w:b/>
        </w:rPr>
      </w:pPr>
      <w:bookmarkStart w:id="10" w:name="_Toc524971133"/>
      <w:bookmarkStart w:id="11" w:name="_Toc17284147"/>
      <w:r w:rsidRPr="00E60746">
        <w:t xml:space="preserve">Clause 19 of the VPS Agreement refers parties to the redeployment principles found in Schedule A of the VPS Agreement. Schedule A prescribes 10 principles upon which the redeployment policy will be based.  </w:t>
      </w:r>
    </w:p>
    <w:p w14:paraId="16585E8E" w14:textId="77777777" w:rsidR="00E60746" w:rsidRPr="00E60746" w:rsidRDefault="00E60746" w:rsidP="006E3BEC">
      <w:pPr>
        <w:pStyle w:val="bodycopy"/>
        <w:rPr>
          <w:b/>
        </w:rPr>
      </w:pPr>
      <w:r w:rsidRPr="00E60746">
        <w:t>The Government’s redeployment policy, based on Schedule A, is set out in the IR Policies at Part 6 and Attachment 4 in the Victorian Public Service Redeployment Policy (VPS Redeployment Policy).</w:t>
      </w:r>
    </w:p>
    <w:p w14:paraId="57302E8C" w14:textId="77777777" w:rsidR="00E60746" w:rsidRPr="00E60746" w:rsidRDefault="00E60746" w:rsidP="006E3BEC">
      <w:pPr>
        <w:pStyle w:val="bodycopy"/>
        <w:rPr>
          <w:b/>
        </w:rPr>
      </w:pPr>
      <w:r w:rsidRPr="00E60746">
        <w:t>This common policy provides supplementary guidance about the application of the VPS Redeployment Policy, which gives effect to clause 19 and the principles of Schedule A of the VPS Agreement.</w:t>
      </w:r>
    </w:p>
    <w:p w14:paraId="6E769D34" w14:textId="77777777" w:rsidR="00E60746" w:rsidRPr="00E60746" w:rsidRDefault="00E60746" w:rsidP="006E3BEC">
      <w:pPr>
        <w:pStyle w:val="bodycopy"/>
        <w:rPr>
          <w:b/>
        </w:rPr>
      </w:pPr>
      <w:r w:rsidRPr="00E60746">
        <w:t>The Redeployment Policy requires:</w:t>
      </w:r>
    </w:p>
    <w:p w14:paraId="5779C6C1" w14:textId="7A76BE46" w:rsidR="00E60746" w:rsidRPr="00E60746" w:rsidRDefault="00E60746" w:rsidP="00E60746">
      <w:pPr>
        <w:pStyle w:val="bodycopy"/>
        <w:numPr>
          <w:ilvl w:val="0"/>
          <w:numId w:val="31"/>
        </w:numPr>
      </w:pPr>
      <w:r w:rsidRPr="00E60746">
        <w:t>Employers – to recognise their obligations under the VPS Redeployment Policy and to commit to placing surplus Employees into vacancies for which they are suitable; and</w:t>
      </w:r>
    </w:p>
    <w:p w14:paraId="75CAC57C" w14:textId="7F24D8FB" w:rsidR="00E60746" w:rsidRPr="00E60746" w:rsidRDefault="00E60746" w:rsidP="00E60746">
      <w:pPr>
        <w:pStyle w:val="bodycopy"/>
        <w:numPr>
          <w:ilvl w:val="0"/>
          <w:numId w:val="31"/>
        </w:numPr>
      </w:pPr>
      <w:r w:rsidRPr="00E60746">
        <w:t>Employees – to commit to participating in the redeployment process in good faith, including actively considering reasonable alternative employment.</w:t>
      </w:r>
    </w:p>
    <w:p w14:paraId="7F070B0C" w14:textId="77777777" w:rsidR="00E60746" w:rsidRPr="00E60746" w:rsidRDefault="00E60746" w:rsidP="00E60746">
      <w:pPr>
        <w:pStyle w:val="bodycopy"/>
      </w:pPr>
      <w:r w:rsidRPr="00E60746">
        <w:t>The VPS Redeployment Policy outlines the redeployment process which may include:</w:t>
      </w:r>
    </w:p>
    <w:p w14:paraId="4C3FC5DE" w14:textId="2C9486EC" w:rsidR="00E60746" w:rsidRPr="00E60746" w:rsidRDefault="00E60746" w:rsidP="00E60746">
      <w:pPr>
        <w:pStyle w:val="bodycopy"/>
        <w:numPr>
          <w:ilvl w:val="0"/>
          <w:numId w:val="31"/>
        </w:numPr>
      </w:pPr>
      <w:r w:rsidRPr="00E60746">
        <w:t>preparing for redeployment;</w:t>
      </w:r>
    </w:p>
    <w:p w14:paraId="4596AEE3" w14:textId="74B40BED" w:rsidR="00E60746" w:rsidRPr="00E60746" w:rsidRDefault="00E60746" w:rsidP="00E60746">
      <w:pPr>
        <w:pStyle w:val="bodycopy"/>
        <w:numPr>
          <w:ilvl w:val="0"/>
          <w:numId w:val="31"/>
        </w:numPr>
      </w:pPr>
      <w:r w:rsidRPr="00E60746">
        <w:t>commencing redeployment;</w:t>
      </w:r>
    </w:p>
    <w:p w14:paraId="40C0211E" w14:textId="5276D2F3" w:rsidR="00E60746" w:rsidRPr="00E60746" w:rsidRDefault="00E60746" w:rsidP="00E60746">
      <w:pPr>
        <w:pStyle w:val="bodycopy"/>
        <w:numPr>
          <w:ilvl w:val="0"/>
          <w:numId w:val="31"/>
        </w:numPr>
      </w:pPr>
      <w:r w:rsidRPr="00E60746">
        <w:t>assignment or transfer to a suitable vacancy;</w:t>
      </w:r>
    </w:p>
    <w:p w14:paraId="25C34FE5" w14:textId="489D1EB6" w:rsidR="00E60746" w:rsidRPr="00E60746" w:rsidRDefault="00E60746" w:rsidP="00E60746">
      <w:pPr>
        <w:pStyle w:val="bodycopy"/>
        <w:numPr>
          <w:ilvl w:val="0"/>
          <w:numId w:val="31"/>
        </w:numPr>
      </w:pPr>
      <w:r w:rsidRPr="00E60746">
        <w:t>termination.</w:t>
      </w:r>
    </w:p>
    <w:p w14:paraId="53D7C1FD" w14:textId="50DCCF6B" w:rsidR="00E655EE" w:rsidRDefault="00E60746" w:rsidP="006E3BEC">
      <w:pPr>
        <w:pStyle w:val="bodycopy"/>
        <w:rPr>
          <w:b/>
        </w:rPr>
      </w:pPr>
      <w:r w:rsidRPr="00E60746">
        <w:lastRenderedPageBreak/>
        <w:t>The VPS Redeployment Policy also contains fundamental Employee safeguards. In addition, retrenchment and payment of a Targeted Separation Package (TSP) will only be used as an action of last resort where redeployment within a reasonable period does not appear likely</w:t>
      </w:r>
      <w:r w:rsidR="00E655EE" w:rsidRPr="00E655EE">
        <w:t>.</w:t>
      </w:r>
    </w:p>
    <w:p w14:paraId="66734D42" w14:textId="4D8DCBFF" w:rsidR="007468F6" w:rsidRDefault="007468F6" w:rsidP="007468F6">
      <w:pPr>
        <w:pStyle w:val="TCPHeading1"/>
      </w:pPr>
      <w:bookmarkStart w:id="12" w:name="_Toc19700255"/>
      <w:bookmarkStart w:id="13" w:name="_Toc19713461"/>
      <w:r>
        <w:t>Relevant provisions of the VPS Enterprise Agreement</w:t>
      </w:r>
      <w:bookmarkEnd w:id="10"/>
      <w:bookmarkEnd w:id="11"/>
      <w:bookmarkEnd w:id="12"/>
      <w:bookmarkEnd w:id="13"/>
    </w:p>
    <w:p w14:paraId="7067C6FF" w14:textId="5DC23338" w:rsidR="007468F6" w:rsidRPr="007468F6" w:rsidRDefault="00DB6BF4" w:rsidP="00353372">
      <w:pPr>
        <w:pStyle w:val="TCPHeading10"/>
      </w:pPr>
      <w:bookmarkStart w:id="14" w:name="_Toc524971134"/>
      <w:bookmarkStart w:id="15" w:name="_Toc17284148"/>
      <w:bookmarkStart w:id="16" w:name="_Toc19700256"/>
      <w:bookmarkStart w:id="17" w:name="_Toc19713462"/>
      <w:r w:rsidRPr="00DB6BF4">
        <w:t xml:space="preserve">Clause </w:t>
      </w:r>
      <w:r w:rsidR="00A1461C">
        <w:t>1</w:t>
      </w:r>
      <w:r w:rsidR="00E60746">
        <w:t>9</w:t>
      </w:r>
      <w:r w:rsidRPr="00DB6BF4">
        <w:t xml:space="preserve"> – </w:t>
      </w:r>
      <w:bookmarkEnd w:id="14"/>
      <w:bookmarkEnd w:id="15"/>
      <w:r w:rsidR="00E60746">
        <w:t>Redeployment</w:t>
      </w:r>
      <w:bookmarkEnd w:id="16"/>
      <w:bookmarkEnd w:id="17"/>
    </w:p>
    <w:p w14:paraId="336B9B12" w14:textId="3F9D84A4" w:rsidR="00A1461C" w:rsidRPr="00353372" w:rsidRDefault="00E60746" w:rsidP="00353372">
      <w:pPr>
        <w:pStyle w:val="TCPNumbering20"/>
        <w:ind w:left="1276" w:hanging="709"/>
        <w:rPr>
          <w:rFonts w:eastAsia="Calibri" w:cs="Times New Roman"/>
        </w:rPr>
      </w:pPr>
      <w:bookmarkStart w:id="18" w:name="_Toc17284150"/>
      <w:bookmarkStart w:id="19" w:name="_Toc524971138"/>
      <w:r w:rsidRPr="00353372">
        <w:rPr>
          <w:rFonts w:eastAsia="Calibri" w:cs="Times New Roman"/>
        </w:rPr>
        <w:t>Redeployment Principles are set out in Schedule A</w:t>
      </w:r>
      <w:r w:rsidR="00A1461C" w:rsidRPr="00353372">
        <w:rPr>
          <w:rFonts w:eastAsia="Calibri" w:cs="Times New Roman"/>
        </w:rPr>
        <w:t>.</w:t>
      </w:r>
    </w:p>
    <w:p w14:paraId="3F77125F" w14:textId="6A273A64" w:rsidR="00E60746" w:rsidRPr="007468F6" w:rsidRDefault="00E60746" w:rsidP="00353372">
      <w:pPr>
        <w:pStyle w:val="TCPHeading10"/>
      </w:pPr>
      <w:bookmarkStart w:id="20" w:name="_Toc19700257"/>
      <w:bookmarkStart w:id="21" w:name="_Toc19713463"/>
      <w:r>
        <w:t>Schedule A</w:t>
      </w:r>
      <w:r w:rsidRPr="00DB6BF4">
        <w:t xml:space="preserve"> – </w:t>
      </w:r>
      <w:r>
        <w:t>Redeployment</w:t>
      </w:r>
      <w:bookmarkEnd w:id="20"/>
      <w:bookmarkEnd w:id="21"/>
    </w:p>
    <w:p w14:paraId="01A055D1" w14:textId="77777777" w:rsidR="00E60746" w:rsidRPr="00353372" w:rsidRDefault="00E60746" w:rsidP="00353372">
      <w:pPr>
        <w:pStyle w:val="TCPNumbering20"/>
        <w:ind w:left="1276" w:hanging="709"/>
        <w:rPr>
          <w:rFonts w:eastAsia="Calibri" w:cs="Times New Roman"/>
        </w:rPr>
      </w:pPr>
      <w:r w:rsidRPr="00353372">
        <w:rPr>
          <w:rFonts w:eastAsia="Calibri" w:cs="Times New Roman"/>
        </w:rPr>
        <w:t>The redeployment policy will be based on the following principles:</w:t>
      </w:r>
    </w:p>
    <w:p w14:paraId="7F08ECFE" w14:textId="209399D8" w:rsidR="00E60746" w:rsidRPr="00353372" w:rsidRDefault="00E60746" w:rsidP="00353372">
      <w:pPr>
        <w:pStyle w:val="TCPNumbering20"/>
        <w:numPr>
          <w:ilvl w:val="0"/>
          <w:numId w:val="33"/>
        </w:numPr>
        <w:ind w:left="1843" w:hanging="425"/>
        <w:rPr>
          <w:rFonts w:eastAsia="Calibri" w:cs="Times New Roman"/>
        </w:rPr>
      </w:pPr>
      <w:r w:rsidRPr="00353372">
        <w:rPr>
          <w:rFonts w:eastAsia="Calibri" w:cs="Times New Roman"/>
        </w:rPr>
        <w:t>The redeployment of surplus Employees wherever practical and consistent with the application of merit;</w:t>
      </w:r>
    </w:p>
    <w:p w14:paraId="2CE4E75D" w14:textId="77777777" w:rsidR="00E60746" w:rsidRPr="00353372" w:rsidRDefault="00E60746" w:rsidP="00353372">
      <w:pPr>
        <w:pStyle w:val="TCPNumbering20"/>
        <w:numPr>
          <w:ilvl w:val="0"/>
          <w:numId w:val="33"/>
        </w:numPr>
        <w:ind w:left="1843" w:hanging="425"/>
        <w:rPr>
          <w:rFonts w:eastAsia="Calibri" w:cs="Times New Roman"/>
        </w:rPr>
      </w:pPr>
      <w:r w:rsidRPr="00353372">
        <w:rPr>
          <w:rFonts w:eastAsia="Calibri" w:cs="Times New Roman"/>
        </w:rPr>
        <w:t>Surplus Employees have priority to be placed in vacancies that occur within the VPS, unless the surplus Employee is determined to be unsuitable for appointment to that vacancy by the prospective employing Agency;</w:t>
      </w:r>
    </w:p>
    <w:p w14:paraId="77F8F0A9" w14:textId="001B2847" w:rsidR="00E60746" w:rsidRPr="00E60746" w:rsidRDefault="00E60746" w:rsidP="00353372">
      <w:pPr>
        <w:pStyle w:val="TCPNumbering20"/>
        <w:numPr>
          <w:ilvl w:val="0"/>
          <w:numId w:val="33"/>
        </w:numPr>
        <w:ind w:left="1843" w:hanging="425"/>
      </w:pPr>
      <w:r w:rsidRPr="00353372">
        <w:rPr>
          <w:rFonts w:eastAsia="Calibri" w:cs="Times New Roman"/>
        </w:rPr>
        <w:t>The placement of surplus Employees be managed at Agency level, the redeploying Agency to provide individualised case management and support, including counselling, provision of job search skills, liaison and retraining to assist in achieving placements</w:t>
      </w:r>
      <w:r w:rsidRPr="00E60746">
        <w:t>;</w:t>
      </w:r>
    </w:p>
    <w:p w14:paraId="2435718B" w14:textId="542785E0" w:rsidR="00E60746" w:rsidRPr="00E60746" w:rsidRDefault="00E60746" w:rsidP="00353372">
      <w:pPr>
        <w:pStyle w:val="TCPNumbering20"/>
        <w:numPr>
          <w:ilvl w:val="0"/>
          <w:numId w:val="33"/>
        </w:numPr>
        <w:ind w:left="1843" w:hanging="425"/>
      </w:pPr>
      <w:r w:rsidRPr="00353372">
        <w:rPr>
          <w:rFonts w:eastAsia="Calibri" w:cs="Times New Roman"/>
        </w:rPr>
        <w:t>Processes</w:t>
      </w:r>
      <w:r w:rsidRPr="00E60746">
        <w:t xml:space="preserve"> to be consistent with the application of the principles of fair and reasonable treatment and merit selection;</w:t>
      </w:r>
    </w:p>
    <w:p w14:paraId="31519593" w14:textId="0B47CCB4" w:rsidR="00E60746" w:rsidRPr="00353372" w:rsidRDefault="00E60746" w:rsidP="00353372">
      <w:pPr>
        <w:pStyle w:val="TCPNumbering20"/>
        <w:numPr>
          <w:ilvl w:val="0"/>
          <w:numId w:val="33"/>
        </w:numPr>
        <w:ind w:left="1843" w:hanging="425"/>
        <w:rPr>
          <w:rFonts w:eastAsia="Calibri" w:cs="Times New Roman"/>
        </w:rPr>
      </w:pPr>
      <w:r w:rsidRPr="00353372">
        <w:rPr>
          <w:rFonts w:eastAsia="Calibri" w:cs="Times New Roman"/>
        </w:rPr>
        <w:t>Unplaced surplus Employees to have access to departure packages only after a reasonable period;</w:t>
      </w:r>
    </w:p>
    <w:p w14:paraId="21E3E519" w14:textId="5C84BF33" w:rsidR="00E60746" w:rsidRPr="00353372" w:rsidRDefault="00E60746" w:rsidP="00353372">
      <w:pPr>
        <w:pStyle w:val="TCPNumbering20"/>
        <w:numPr>
          <w:ilvl w:val="0"/>
          <w:numId w:val="33"/>
        </w:numPr>
        <w:ind w:left="1843" w:hanging="425"/>
        <w:rPr>
          <w:rFonts w:eastAsia="Calibri" w:cs="Times New Roman"/>
        </w:rPr>
      </w:pPr>
      <w:r w:rsidRPr="00353372">
        <w:rPr>
          <w:rFonts w:eastAsia="Calibri" w:cs="Times New Roman"/>
        </w:rPr>
        <w:t>Retrenchment and payment of a separation package to be used as an action of last resort where redeployment within a reasonable period does not appear likely;</w:t>
      </w:r>
    </w:p>
    <w:p w14:paraId="3ED8A881" w14:textId="6BA7EF00" w:rsidR="00E60746" w:rsidRPr="00353372" w:rsidRDefault="00E60746" w:rsidP="00353372">
      <w:pPr>
        <w:pStyle w:val="TCPNumbering20"/>
        <w:numPr>
          <w:ilvl w:val="0"/>
          <w:numId w:val="33"/>
        </w:numPr>
        <w:ind w:left="1843" w:hanging="425"/>
        <w:rPr>
          <w:rFonts w:eastAsia="Calibri" w:cs="Times New Roman"/>
        </w:rPr>
      </w:pPr>
      <w:r w:rsidRPr="00353372">
        <w:rPr>
          <w:rFonts w:eastAsia="Calibri" w:cs="Times New Roman"/>
        </w:rPr>
        <w:t>Where a vacancy exists for which a redeployee is suitable and is the only candidate or the best candidate amongst redeployees, a valid offer will be made. A valid offer involves an offer of duties to a suitably qualified Employee (which may be at the same or different level or status or the same or different general location as the Employee’s previous employment);</w:t>
      </w:r>
    </w:p>
    <w:p w14:paraId="18C52E17" w14:textId="2488CD49" w:rsidR="00E60746" w:rsidRPr="00353372" w:rsidRDefault="00E60746" w:rsidP="00353372">
      <w:pPr>
        <w:pStyle w:val="TCPNumbering20"/>
        <w:numPr>
          <w:ilvl w:val="0"/>
          <w:numId w:val="33"/>
        </w:numPr>
        <w:ind w:left="1843" w:hanging="425"/>
        <w:rPr>
          <w:rFonts w:eastAsia="Calibri" w:cs="Times New Roman"/>
        </w:rPr>
      </w:pPr>
      <w:r w:rsidRPr="00353372">
        <w:rPr>
          <w:rFonts w:eastAsia="Calibri" w:cs="Times New Roman"/>
        </w:rPr>
        <w:t xml:space="preserve">Redeployees will have priority access to vacancies both at the Employee’s classification level and below their classification level and, where appropriate, will be provided with salary maintenance; </w:t>
      </w:r>
    </w:p>
    <w:p w14:paraId="5F85D7EF" w14:textId="2F382DC8" w:rsidR="00E60746" w:rsidRPr="00353372" w:rsidRDefault="00E60746" w:rsidP="00353372">
      <w:pPr>
        <w:pStyle w:val="TCPNumbering20"/>
        <w:numPr>
          <w:ilvl w:val="0"/>
          <w:numId w:val="33"/>
        </w:numPr>
        <w:ind w:left="1843" w:hanging="425"/>
        <w:rPr>
          <w:rFonts w:eastAsia="Calibri" w:cs="Times New Roman"/>
        </w:rPr>
      </w:pPr>
      <w:r w:rsidRPr="00353372">
        <w:rPr>
          <w:rFonts w:eastAsia="Calibri" w:cs="Times New Roman"/>
        </w:rPr>
        <w:t>Relinquishing Agencies will provide support to redeployees being placed in alternative positions utilising high quality and professional expertise; and</w:t>
      </w:r>
    </w:p>
    <w:p w14:paraId="18F6646B" w14:textId="19411758" w:rsidR="00E60746" w:rsidRPr="00353372" w:rsidRDefault="00E60746" w:rsidP="00353372">
      <w:pPr>
        <w:pStyle w:val="TCPNumbering20"/>
        <w:numPr>
          <w:ilvl w:val="0"/>
          <w:numId w:val="33"/>
        </w:numPr>
        <w:ind w:left="1843" w:hanging="425"/>
        <w:rPr>
          <w:rFonts w:eastAsia="Calibri" w:cs="Times New Roman"/>
        </w:rPr>
      </w:pPr>
      <w:r w:rsidRPr="00353372">
        <w:rPr>
          <w:rFonts w:eastAsia="Calibri" w:cs="Times New Roman"/>
        </w:rPr>
        <w:lastRenderedPageBreak/>
        <w:t>Redeployees will actively engage in the redeployment process</w:t>
      </w:r>
    </w:p>
    <w:p w14:paraId="3DA4FE2E" w14:textId="0BC58428" w:rsidR="00E700C4" w:rsidRDefault="00E700C4" w:rsidP="00335417">
      <w:pPr>
        <w:pStyle w:val="TCPHeading1"/>
      </w:pPr>
      <w:bookmarkStart w:id="22" w:name="_Toc19700258"/>
      <w:bookmarkStart w:id="23" w:name="_Toc19713464"/>
      <w:r>
        <w:t>Supplementary guidance information</w:t>
      </w:r>
      <w:bookmarkEnd w:id="18"/>
      <w:bookmarkEnd w:id="22"/>
      <w:bookmarkEnd w:id="23"/>
    </w:p>
    <w:p w14:paraId="0EFA6F78" w14:textId="77777777" w:rsidR="00E60746" w:rsidRPr="00B51FF1" w:rsidRDefault="00E60746" w:rsidP="000C10A7">
      <w:pPr>
        <w:pStyle w:val="heading2black"/>
        <w:keepNext w:val="0"/>
        <w:numPr>
          <w:ilvl w:val="0"/>
          <w:numId w:val="35"/>
        </w:numPr>
        <w:ind w:left="709" w:hanging="709"/>
        <w:outlineLvl w:val="1"/>
        <w:rPr>
          <w:iCs/>
          <w:color w:val="595959" w:themeColor="text1" w:themeTint="A6"/>
        </w:rPr>
      </w:pPr>
      <w:bookmarkStart w:id="24" w:name="_Toc9433205"/>
      <w:bookmarkStart w:id="25" w:name="_Toc19700259"/>
      <w:bookmarkStart w:id="26" w:name="_Toc19713465"/>
      <w:bookmarkStart w:id="27" w:name="_Toc17284151"/>
      <w:r w:rsidRPr="00B51FF1">
        <w:rPr>
          <w:iCs/>
          <w:color w:val="595959" w:themeColor="text1" w:themeTint="A6"/>
        </w:rPr>
        <w:t>Public Administration Act 2004</w:t>
      </w:r>
      <w:bookmarkEnd w:id="24"/>
      <w:bookmarkEnd w:id="25"/>
      <w:bookmarkEnd w:id="26"/>
    </w:p>
    <w:p w14:paraId="3892FD46" w14:textId="77777777" w:rsidR="00E60746" w:rsidRPr="00E60746" w:rsidRDefault="00E60746" w:rsidP="00E60746">
      <w:pPr>
        <w:pStyle w:val="bodycopy"/>
        <w:numPr>
          <w:ilvl w:val="1"/>
          <w:numId w:val="35"/>
        </w:numPr>
        <w:ind w:left="720" w:hanging="720"/>
      </w:pPr>
      <w:r w:rsidRPr="00E60746">
        <w:t xml:space="preserve">Section 31A of the </w:t>
      </w:r>
      <w:r w:rsidRPr="00E60746">
        <w:rPr>
          <w:i/>
        </w:rPr>
        <w:t xml:space="preserve">Public Administration Act 2004 </w:t>
      </w:r>
      <w:r w:rsidRPr="00E60746">
        <w:t>provides that the Employer may assign work to an Employee consistent with their employment classification, skills and capabilities and section 28(1) provides that the Employer may transfer an Employee to duties in other public service bodies or in public entities on terms and conditions of employment that are no less favourable overall.</w:t>
      </w:r>
    </w:p>
    <w:p w14:paraId="7A0B467C" w14:textId="77777777" w:rsidR="00E60746" w:rsidRPr="00E60746" w:rsidRDefault="00E60746" w:rsidP="00E60746">
      <w:pPr>
        <w:pStyle w:val="bodycopy"/>
        <w:numPr>
          <w:ilvl w:val="1"/>
          <w:numId w:val="35"/>
        </w:numPr>
        <w:ind w:left="720" w:hanging="720"/>
      </w:pPr>
      <w:r w:rsidRPr="00E60746">
        <w:t xml:space="preserve">Where Employees are transferred between the public service and another public service body or entity, the arrangements which are to apply are governed by Part 6.3 ‘Employee Entitlements on Transfer’ of the IR Policies. </w:t>
      </w:r>
    </w:p>
    <w:p w14:paraId="1D9BFE02" w14:textId="77777777" w:rsidR="00E60746" w:rsidRPr="00B51FF1" w:rsidRDefault="00E60746" w:rsidP="000C10A7">
      <w:pPr>
        <w:pStyle w:val="heading2black"/>
        <w:keepNext w:val="0"/>
        <w:numPr>
          <w:ilvl w:val="0"/>
          <w:numId w:val="35"/>
        </w:numPr>
        <w:ind w:left="709" w:hanging="709"/>
        <w:outlineLvl w:val="1"/>
        <w:rPr>
          <w:iCs/>
          <w:color w:val="595959" w:themeColor="text1" w:themeTint="A6"/>
        </w:rPr>
      </w:pPr>
      <w:bookmarkStart w:id="28" w:name="_Toc9433206"/>
      <w:bookmarkStart w:id="29" w:name="_Toc19700260"/>
      <w:bookmarkStart w:id="30" w:name="_Toc19713466"/>
      <w:r w:rsidRPr="00B51FF1">
        <w:rPr>
          <w:iCs/>
          <w:color w:val="595959" w:themeColor="text1" w:themeTint="A6"/>
        </w:rPr>
        <w:t>Consultation</w:t>
      </w:r>
      <w:bookmarkEnd w:id="28"/>
      <w:bookmarkEnd w:id="29"/>
      <w:bookmarkEnd w:id="30"/>
    </w:p>
    <w:p w14:paraId="046C490E" w14:textId="77777777" w:rsidR="00E60746" w:rsidRPr="00E60746" w:rsidRDefault="00E60746" w:rsidP="00E60746">
      <w:pPr>
        <w:pStyle w:val="bodycopy"/>
        <w:numPr>
          <w:ilvl w:val="1"/>
          <w:numId w:val="35"/>
        </w:numPr>
        <w:ind w:left="720" w:hanging="720"/>
      </w:pPr>
      <w:r w:rsidRPr="00E60746">
        <w:t>In the event a department or agency proposes major change that is likely to have a significant effect on Employees, such that it may result in some roles being declared surplus to business or operational requirements, the process outlined by clause 10 ‘Implementation of Change’</w:t>
      </w:r>
      <w:r w:rsidRPr="00E60746">
        <w:rPr>
          <w:i/>
        </w:rPr>
        <w:t xml:space="preserve"> </w:t>
      </w:r>
      <w:r w:rsidRPr="00E60746">
        <w:t xml:space="preserve">of the VPS Agreement must be followed. </w:t>
      </w:r>
    </w:p>
    <w:p w14:paraId="493B45A6" w14:textId="77777777" w:rsidR="00E60746" w:rsidRPr="00B51FF1" w:rsidRDefault="00E60746" w:rsidP="000C10A7">
      <w:pPr>
        <w:pStyle w:val="heading2black"/>
        <w:keepNext w:val="0"/>
        <w:numPr>
          <w:ilvl w:val="0"/>
          <w:numId w:val="35"/>
        </w:numPr>
        <w:ind w:left="709" w:hanging="709"/>
        <w:outlineLvl w:val="1"/>
        <w:rPr>
          <w:iCs/>
          <w:color w:val="595959" w:themeColor="text1" w:themeTint="A6"/>
        </w:rPr>
      </w:pPr>
      <w:bookmarkStart w:id="31" w:name="_Toc9433207"/>
      <w:bookmarkStart w:id="32" w:name="_Toc19700261"/>
      <w:bookmarkStart w:id="33" w:name="_Toc19713467"/>
      <w:r w:rsidRPr="00B51FF1">
        <w:rPr>
          <w:iCs/>
          <w:color w:val="595959" w:themeColor="text1" w:themeTint="A6"/>
        </w:rPr>
        <w:t>Public Sector Industrial Relations Policies 2015 – VPS Redeployment Policies</w:t>
      </w:r>
      <w:bookmarkEnd w:id="31"/>
      <w:bookmarkEnd w:id="32"/>
      <w:bookmarkEnd w:id="33"/>
    </w:p>
    <w:p w14:paraId="01EBC78D" w14:textId="77777777" w:rsidR="00E60746" w:rsidRPr="00E60746" w:rsidRDefault="00E60746" w:rsidP="00E60746">
      <w:pPr>
        <w:pStyle w:val="bodycopy"/>
        <w:numPr>
          <w:ilvl w:val="1"/>
          <w:numId w:val="35"/>
        </w:numPr>
        <w:ind w:left="720" w:hanging="720"/>
      </w:pPr>
      <w:r w:rsidRPr="00E60746">
        <w:t xml:space="preserve">The VPS Redeployment Policy seeks to assist, in a fair and equitable manner, those Employees in the public service whose positions have been declared surplus. </w:t>
      </w:r>
    </w:p>
    <w:p w14:paraId="4D532252" w14:textId="77777777" w:rsidR="00E60746" w:rsidRPr="00E60746" w:rsidRDefault="00E60746" w:rsidP="00E60746">
      <w:pPr>
        <w:pStyle w:val="bodycopy"/>
        <w:numPr>
          <w:ilvl w:val="1"/>
          <w:numId w:val="35"/>
        </w:numPr>
        <w:ind w:left="720" w:hanging="720"/>
      </w:pPr>
      <w:r w:rsidRPr="00E60746">
        <w:t xml:space="preserve">Employers must have regard to the VPS Redeployment Policy when managing circumstances where a position has been declared surplus to business or operational requirements. </w:t>
      </w:r>
    </w:p>
    <w:p w14:paraId="0958832E" w14:textId="77777777" w:rsidR="00E60746" w:rsidRPr="00E60746" w:rsidRDefault="00E60746" w:rsidP="00E60746">
      <w:pPr>
        <w:pStyle w:val="bodycopy"/>
        <w:numPr>
          <w:ilvl w:val="1"/>
          <w:numId w:val="35"/>
        </w:numPr>
        <w:ind w:left="720" w:hanging="720"/>
      </w:pPr>
      <w:r w:rsidRPr="00E60746">
        <w:t xml:space="preserve">A copy of the IR Policies can be found online or obtained from agencies portfolio departments or from Industrial Relations Victoria. </w:t>
      </w:r>
    </w:p>
    <w:p w14:paraId="23AD2898" w14:textId="77777777" w:rsidR="00E60746" w:rsidRPr="00B51FF1" w:rsidRDefault="00E60746" w:rsidP="000C10A7">
      <w:pPr>
        <w:pStyle w:val="heading2black"/>
        <w:keepNext w:val="0"/>
        <w:numPr>
          <w:ilvl w:val="0"/>
          <w:numId w:val="35"/>
        </w:numPr>
        <w:ind w:left="709" w:hanging="709"/>
        <w:outlineLvl w:val="1"/>
        <w:rPr>
          <w:iCs/>
          <w:color w:val="595959" w:themeColor="text1" w:themeTint="A6"/>
        </w:rPr>
      </w:pPr>
      <w:bookmarkStart w:id="34" w:name="_Toc9433208"/>
      <w:bookmarkStart w:id="35" w:name="_Toc19700262"/>
      <w:bookmarkStart w:id="36" w:name="_Toc19713468"/>
      <w:r w:rsidRPr="00B51FF1">
        <w:rPr>
          <w:iCs/>
          <w:color w:val="595959" w:themeColor="text1" w:themeTint="A6"/>
        </w:rPr>
        <w:t>Preparing for Redeployment</w:t>
      </w:r>
      <w:bookmarkEnd w:id="34"/>
      <w:bookmarkEnd w:id="35"/>
      <w:bookmarkEnd w:id="36"/>
      <w:r w:rsidRPr="00B51FF1">
        <w:rPr>
          <w:iCs/>
          <w:color w:val="595959" w:themeColor="text1" w:themeTint="A6"/>
        </w:rPr>
        <w:t xml:space="preserve"> </w:t>
      </w:r>
    </w:p>
    <w:p w14:paraId="44FB217D" w14:textId="77777777" w:rsidR="00E60746" w:rsidRPr="00E60746" w:rsidRDefault="00E60746" w:rsidP="00E60746">
      <w:pPr>
        <w:pStyle w:val="bodycopy"/>
        <w:numPr>
          <w:ilvl w:val="1"/>
          <w:numId w:val="35"/>
        </w:numPr>
        <w:ind w:left="720" w:hanging="720"/>
      </w:pPr>
      <w:r w:rsidRPr="00E60746">
        <w:t xml:space="preserve">Within two weeks of a decision being made to declare a position surplus, the Employer must advise the affected Employee in writing of the date their position was declared surplus and commence preparation for redeployment of the Redeployee. </w:t>
      </w:r>
    </w:p>
    <w:p w14:paraId="7140A32E" w14:textId="77777777" w:rsidR="00E60746" w:rsidRPr="00E60746" w:rsidRDefault="00E60746" w:rsidP="00E60746">
      <w:pPr>
        <w:pStyle w:val="bodycopy"/>
        <w:numPr>
          <w:ilvl w:val="1"/>
          <w:numId w:val="35"/>
        </w:numPr>
        <w:ind w:left="720" w:hanging="720"/>
      </w:pPr>
      <w:r w:rsidRPr="00E60746">
        <w:t>Preparation for redeployment should involve:</w:t>
      </w:r>
    </w:p>
    <w:p w14:paraId="57C115B1" w14:textId="77777777" w:rsidR="00E60746" w:rsidRPr="00E60746" w:rsidRDefault="00E60746" w:rsidP="00E60746">
      <w:pPr>
        <w:pStyle w:val="bodycopy"/>
        <w:numPr>
          <w:ilvl w:val="2"/>
          <w:numId w:val="35"/>
        </w:numPr>
        <w:ind w:left="1418" w:hanging="709"/>
      </w:pPr>
      <w:r w:rsidRPr="00E60746">
        <w:t>appointment of a case manager to the Redeployee to support them with redeployment to an ongoing vacancy within the public service; and</w:t>
      </w:r>
    </w:p>
    <w:p w14:paraId="256A1C6A" w14:textId="77777777" w:rsidR="00E60746" w:rsidRPr="00E60746" w:rsidRDefault="00E60746" w:rsidP="00E60746">
      <w:pPr>
        <w:pStyle w:val="bodycopy"/>
        <w:numPr>
          <w:ilvl w:val="2"/>
          <w:numId w:val="35"/>
        </w:numPr>
        <w:ind w:left="1418" w:hanging="709"/>
      </w:pPr>
      <w:r w:rsidRPr="00E60746">
        <w:t>the case manager should:</w:t>
      </w:r>
    </w:p>
    <w:p w14:paraId="72D0E4AC" w14:textId="77777777" w:rsidR="00E60746" w:rsidRPr="006E3BEC" w:rsidRDefault="00E60746" w:rsidP="00E60746">
      <w:pPr>
        <w:numPr>
          <w:ilvl w:val="2"/>
          <w:numId w:val="34"/>
        </w:numPr>
        <w:spacing w:before="200" w:after="0" w:line="240" w:lineRule="auto"/>
        <w:ind w:left="1872" w:hanging="454"/>
        <w:jc w:val="both"/>
        <w:rPr>
          <w:rFonts w:ascii="VIC" w:hAnsi="VIC"/>
          <w:color w:val="595959" w:themeColor="text1" w:themeTint="A6"/>
          <w:sz w:val="20"/>
          <w:szCs w:val="20"/>
        </w:rPr>
      </w:pPr>
      <w:r w:rsidRPr="006E3BEC">
        <w:rPr>
          <w:rFonts w:ascii="VIC" w:hAnsi="VIC"/>
          <w:color w:val="595959" w:themeColor="text1" w:themeTint="A6"/>
          <w:sz w:val="20"/>
          <w:szCs w:val="20"/>
        </w:rPr>
        <w:t>undertake a skills audit and discuss the Redeployee’s previous work experience and expectations;</w:t>
      </w:r>
    </w:p>
    <w:p w14:paraId="52E19657" w14:textId="77777777" w:rsidR="00E60746" w:rsidRPr="006E3BEC" w:rsidRDefault="00E60746" w:rsidP="00E60746">
      <w:pPr>
        <w:numPr>
          <w:ilvl w:val="2"/>
          <w:numId w:val="34"/>
        </w:numPr>
        <w:spacing w:before="200" w:after="0" w:line="240" w:lineRule="auto"/>
        <w:ind w:left="1872" w:hanging="454"/>
        <w:jc w:val="both"/>
        <w:rPr>
          <w:rFonts w:ascii="VIC" w:hAnsi="VIC"/>
          <w:color w:val="595959" w:themeColor="text1" w:themeTint="A6"/>
          <w:sz w:val="20"/>
          <w:szCs w:val="20"/>
        </w:rPr>
      </w:pPr>
      <w:r w:rsidRPr="006E3BEC">
        <w:rPr>
          <w:rFonts w:ascii="VIC" w:hAnsi="VIC"/>
          <w:color w:val="595959" w:themeColor="text1" w:themeTint="A6"/>
          <w:sz w:val="20"/>
          <w:szCs w:val="20"/>
        </w:rPr>
        <w:t>reach agreement with the Redeployee on job search criteria (duties, location and classification);</w:t>
      </w:r>
    </w:p>
    <w:p w14:paraId="33516B30" w14:textId="77777777" w:rsidR="00E60746" w:rsidRPr="006E3BEC" w:rsidRDefault="00E60746" w:rsidP="00E60746">
      <w:pPr>
        <w:numPr>
          <w:ilvl w:val="2"/>
          <w:numId w:val="34"/>
        </w:numPr>
        <w:spacing w:before="200" w:after="0" w:line="240" w:lineRule="auto"/>
        <w:ind w:left="1872" w:hanging="454"/>
        <w:jc w:val="both"/>
        <w:rPr>
          <w:rFonts w:ascii="VIC" w:hAnsi="VIC"/>
          <w:color w:val="595959" w:themeColor="text1" w:themeTint="A6"/>
          <w:sz w:val="20"/>
          <w:szCs w:val="20"/>
        </w:rPr>
      </w:pPr>
      <w:r w:rsidRPr="006E3BEC">
        <w:rPr>
          <w:rFonts w:ascii="VIC" w:hAnsi="VIC"/>
          <w:color w:val="595959" w:themeColor="text1" w:themeTint="A6"/>
          <w:sz w:val="20"/>
          <w:szCs w:val="20"/>
        </w:rPr>
        <w:lastRenderedPageBreak/>
        <w:t>coordinate the provision of career support services (where relevant) which may include organising/participating in CV preparation and interview skills training, career coaching or other skills training; and</w:t>
      </w:r>
    </w:p>
    <w:p w14:paraId="5589D346" w14:textId="77777777" w:rsidR="00E60746" w:rsidRPr="006E3BEC" w:rsidRDefault="00E60746" w:rsidP="00E60746">
      <w:pPr>
        <w:numPr>
          <w:ilvl w:val="2"/>
          <w:numId w:val="34"/>
        </w:numPr>
        <w:spacing w:before="200" w:after="0" w:line="240" w:lineRule="auto"/>
        <w:ind w:left="1872" w:hanging="454"/>
        <w:jc w:val="both"/>
        <w:rPr>
          <w:rFonts w:ascii="VIC" w:hAnsi="VIC"/>
          <w:color w:val="595959" w:themeColor="text1" w:themeTint="A6"/>
          <w:sz w:val="20"/>
          <w:szCs w:val="20"/>
        </w:rPr>
      </w:pPr>
      <w:r w:rsidRPr="006E3BEC">
        <w:rPr>
          <w:rFonts w:ascii="VIC" w:hAnsi="VIC"/>
          <w:color w:val="595959" w:themeColor="text1" w:themeTint="A6"/>
          <w:sz w:val="20"/>
          <w:szCs w:val="20"/>
        </w:rPr>
        <w:t xml:space="preserve">ensure the Redeployee is aware they can have a support person or employee representative assist them in the process. </w:t>
      </w:r>
    </w:p>
    <w:p w14:paraId="237AFF2B" w14:textId="77777777" w:rsidR="00E60746" w:rsidRPr="00B51FF1" w:rsidRDefault="00E60746" w:rsidP="000C10A7">
      <w:pPr>
        <w:pStyle w:val="heading2black"/>
        <w:keepNext w:val="0"/>
        <w:numPr>
          <w:ilvl w:val="0"/>
          <w:numId w:val="35"/>
        </w:numPr>
        <w:ind w:left="709" w:hanging="709"/>
        <w:outlineLvl w:val="1"/>
        <w:rPr>
          <w:iCs/>
          <w:color w:val="595959" w:themeColor="text1" w:themeTint="A6"/>
        </w:rPr>
      </w:pPr>
      <w:bookmarkStart w:id="37" w:name="_Toc9433209"/>
      <w:bookmarkStart w:id="38" w:name="_Toc19700263"/>
      <w:bookmarkStart w:id="39" w:name="_Toc19713469"/>
      <w:r w:rsidRPr="00B51FF1">
        <w:rPr>
          <w:iCs/>
          <w:color w:val="595959" w:themeColor="text1" w:themeTint="A6"/>
        </w:rPr>
        <w:t>Redeployment Process</w:t>
      </w:r>
      <w:bookmarkEnd w:id="37"/>
      <w:bookmarkEnd w:id="38"/>
      <w:bookmarkEnd w:id="39"/>
    </w:p>
    <w:p w14:paraId="409BED30" w14:textId="77777777" w:rsidR="00E60746" w:rsidRPr="00E60746" w:rsidRDefault="00E60746" w:rsidP="00E60746">
      <w:pPr>
        <w:pStyle w:val="bodycopy"/>
        <w:numPr>
          <w:ilvl w:val="1"/>
          <w:numId w:val="35"/>
        </w:numPr>
        <w:ind w:left="720" w:hanging="720"/>
      </w:pPr>
      <w:r w:rsidRPr="00E60746">
        <w:rPr>
          <w:b/>
        </w:rPr>
        <w:t xml:space="preserve">Redeployment process </w:t>
      </w:r>
      <w:r w:rsidRPr="00E60746">
        <w:t>commences after</w:t>
      </w:r>
      <w:r w:rsidRPr="00E60746">
        <w:rPr>
          <w:b/>
        </w:rPr>
        <w:t xml:space="preserve"> </w:t>
      </w:r>
      <w:r w:rsidRPr="00E60746">
        <w:t>an Employee’s position have been declared surplus and includes the Redeployment Period.</w:t>
      </w:r>
    </w:p>
    <w:p w14:paraId="38E718BD" w14:textId="77777777" w:rsidR="00E60746" w:rsidRPr="00E60746" w:rsidRDefault="00E60746" w:rsidP="00E60746">
      <w:pPr>
        <w:pStyle w:val="bodycopy"/>
        <w:numPr>
          <w:ilvl w:val="1"/>
          <w:numId w:val="35"/>
        </w:numPr>
        <w:ind w:left="720" w:hanging="720"/>
      </w:pPr>
      <w:r w:rsidRPr="00E60746">
        <w:t xml:space="preserve">The </w:t>
      </w:r>
      <w:r w:rsidRPr="00E60746">
        <w:rPr>
          <w:b/>
        </w:rPr>
        <w:t xml:space="preserve">Redeployment Period </w:t>
      </w:r>
      <w:r w:rsidRPr="00E60746">
        <w:t xml:space="preserve">refers to the period during which the Redeployee is provided assistance to find an alternative ongoing position within the VPS and must be for a minimum period of three months, unless agreed otherwise between the Employer and the Redeployee. </w:t>
      </w:r>
    </w:p>
    <w:p w14:paraId="14ACDD62" w14:textId="77777777" w:rsidR="00E60746" w:rsidRPr="00E60746" w:rsidRDefault="00E60746" w:rsidP="00E60746">
      <w:pPr>
        <w:pStyle w:val="bodycopy"/>
        <w:numPr>
          <w:ilvl w:val="1"/>
          <w:numId w:val="35"/>
        </w:numPr>
        <w:ind w:left="720" w:hanging="720"/>
      </w:pPr>
      <w:r w:rsidRPr="00E60746">
        <w:t>During the redeployment process, the Redeployee will have priority access to be placed in ongoing vacancies that occur within the public service at the Redeployee’s classification level and below their classification level, unless the person is determined to be unsuitable for appointment to that vacancy by the prospective employing agency.</w:t>
      </w:r>
    </w:p>
    <w:p w14:paraId="46B5C075" w14:textId="77777777" w:rsidR="00E60746" w:rsidRPr="00E60746" w:rsidRDefault="00E60746" w:rsidP="00E60746">
      <w:pPr>
        <w:pStyle w:val="bodycopy"/>
        <w:numPr>
          <w:ilvl w:val="1"/>
          <w:numId w:val="35"/>
        </w:numPr>
        <w:ind w:left="720" w:hanging="720"/>
      </w:pPr>
      <w:r w:rsidRPr="00E60746">
        <w:t xml:space="preserve">The Redeployee remains employed and will be directed to perform suitable duties during the redeployment process. The Redeployee’s terms and conditions of employment will continue to be regulated by the VPS Agreement during the redeployment process. </w:t>
      </w:r>
    </w:p>
    <w:p w14:paraId="45A529C3" w14:textId="77777777" w:rsidR="00E60746" w:rsidRPr="00E60746" w:rsidRDefault="00E60746" w:rsidP="00E60746">
      <w:pPr>
        <w:pStyle w:val="bodycopy"/>
        <w:numPr>
          <w:ilvl w:val="1"/>
          <w:numId w:val="35"/>
        </w:numPr>
        <w:ind w:left="720" w:hanging="720"/>
      </w:pPr>
      <w:r w:rsidRPr="00E60746">
        <w:t xml:space="preserve">The Redeployee must actively engage in the redeployment process, and the Employer must support the Redeployee to identify ongoing vacancies for which they are suitable. </w:t>
      </w:r>
    </w:p>
    <w:p w14:paraId="6C3FEED6" w14:textId="77777777" w:rsidR="00E60746" w:rsidRPr="00E60746" w:rsidRDefault="00E60746" w:rsidP="00E60746">
      <w:pPr>
        <w:pStyle w:val="bodycopy"/>
        <w:numPr>
          <w:ilvl w:val="1"/>
          <w:numId w:val="35"/>
        </w:numPr>
        <w:ind w:left="720" w:hanging="720"/>
      </w:pPr>
      <w:r w:rsidRPr="00E60746">
        <w:t>The minimum expected activities that make up the redeployment process and the key responsibilities of the relevant parties is summarised in the table below:</w:t>
      </w:r>
    </w:p>
    <w:tbl>
      <w:tblPr>
        <w:tblStyle w:val="GridTable4-Accent1"/>
        <w:tblW w:w="9067" w:type="dxa"/>
        <w:tblLook w:val="04A0" w:firstRow="1" w:lastRow="0" w:firstColumn="1" w:lastColumn="0" w:noHBand="0" w:noVBand="1"/>
      </w:tblPr>
      <w:tblGrid>
        <w:gridCol w:w="6593"/>
        <w:gridCol w:w="2474"/>
      </w:tblGrid>
      <w:tr w:rsidR="00E60746" w:rsidRPr="00E60746" w14:paraId="342A0A26" w14:textId="77777777" w:rsidTr="006F343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58" w:type="dxa"/>
          </w:tcPr>
          <w:p w14:paraId="6BBA6F24" w14:textId="77777777" w:rsidR="00E60746" w:rsidRPr="00E60746" w:rsidRDefault="00E60746" w:rsidP="006F343E">
            <w:pPr>
              <w:spacing w:before="200"/>
              <w:jc w:val="center"/>
              <w:rPr>
                <w:rFonts w:ascii="VIC" w:hAnsi="VIC"/>
                <w:b w:val="0"/>
              </w:rPr>
            </w:pPr>
            <w:r w:rsidRPr="00E60746">
              <w:rPr>
                <w:rFonts w:ascii="VIC" w:hAnsi="VIC"/>
              </w:rPr>
              <w:t>Redeployment Activities</w:t>
            </w:r>
          </w:p>
        </w:tc>
        <w:tc>
          <w:tcPr>
            <w:tcW w:w="2409" w:type="dxa"/>
          </w:tcPr>
          <w:p w14:paraId="6A46AB64" w14:textId="77777777" w:rsidR="00E60746" w:rsidRPr="00E60746" w:rsidRDefault="00E60746" w:rsidP="006F343E">
            <w:pPr>
              <w:spacing w:before="200"/>
              <w:jc w:val="center"/>
              <w:cnfStyle w:val="100000000000" w:firstRow="1" w:lastRow="0" w:firstColumn="0" w:lastColumn="0" w:oddVBand="0" w:evenVBand="0" w:oddHBand="0" w:evenHBand="0" w:firstRowFirstColumn="0" w:firstRowLastColumn="0" w:lastRowFirstColumn="0" w:lastRowLastColumn="0"/>
              <w:rPr>
                <w:rFonts w:ascii="VIC" w:hAnsi="VIC"/>
                <w:b w:val="0"/>
              </w:rPr>
            </w:pPr>
            <w:r w:rsidRPr="00E60746">
              <w:rPr>
                <w:rFonts w:ascii="VIC" w:hAnsi="VIC"/>
              </w:rPr>
              <w:t>Responsible person(s)</w:t>
            </w:r>
          </w:p>
        </w:tc>
      </w:tr>
      <w:tr w:rsidR="00E60746" w:rsidRPr="00E60746" w14:paraId="1B055320" w14:textId="77777777" w:rsidTr="006F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BD42015" w14:textId="77777777" w:rsidR="00E60746" w:rsidRPr="00B64C2E" w:rsidRDefault="00E60746" w:rsidP="00B64C2E">
            <w:pPr>
              <w:pStyle w:val="bodycopy"/>
              <w:rPr>
                <w:b w:val="0"/>
              </w:rPr>
            </w:pPr>
            <w:r w:rsidRPr="00B64C2E">
              <w:rPr>
                <w:b w:val="0"/>
              </w:rPr>
              <w:t>Identify and review all suitable ongoing VPS vacancies to maximise the opportunities for referral for redeployment. Discuss options with the Redeployee to facilitate the matching process and any reasonable training needs, with the aim to offer duties as close to the Redeployee’s current level as possible.</w:t>
            </w:r>
          </w:p>
        </w:tc>
        <w:tc>
          <w:tcPr>
            <w:tcW w:w="2409" w:type="dxa"/>
          </w:tcPr>
          <w:p w14:paraId="23DF9C06" w14:textId="77777777" w:rsidR="00E60746" w:rsidRPr="00E60746" w:rsidRDefault="00E60746" w:rsidP="006F343E">
            <w:pPr>
              <w:spacing w:before="200"/>
              <w:jc w:val="both"/>
              <w:cnfStyle w:val="000000100000" w:firstRow="0" w:lastRow="0" w:firstColumn="0" w:lastColumn="0" w:oddVBand="0" w:evenVBand="0" w:oddHBand="1" w:evenHBand="0" w:firstRowFirstColumn="0" w:firstRowLastColumn="0" w:lastRowFirstColumn="0" w:lastRowLastColumn="0"/>
              <w:rPr>
                <w:rFonts w:ascii="VIC" w:hAnsi="VIC"/>
              </w:rPr>
            </w:pPr>
            <w:r w:rsidRPr="00E60746">
              <w:rPr>
                <w:rFonts w:ascii="VIC" w:hAnsi="VIC"/>
              </w:rPr>
              <w:t>Case Manager</w:t>
            </w:r>
          </w:p>
          <w:p w14:paraId="54715637" w14:textId="77777777" w:rsidR="00E60746" w:rsidRPr="00E60746" w:rsidRDefault="00E60746" w:rsidP="006F343E">
            <w:pPr>
              <w:spacing w:before="200"/>
              <w:jc w:val="both"/>
              <w:cnfStyle w:val="000000100000" w:firstRow="0" w:lastRow="0" w:firstColumn="0" w:lastColumn="0" w:oddVBand="0" w:evenVBand="0" w:oddHBand="1" w:evenHBand="0" w:firstRowFirstColumn="0" w:firstRowLastColumn="0" w:lastRowFirstColumn="0" w:lastRowLastColumn="0"/>
              <w:rPr>
                <w:rFonts w:ascii="VIC" w:hAnsi="VIC"/>
              </w:rPr>
            </w:pPr>
            <w:r w:rsidRPr="00E60746">
              <w:rPr>
                <w:rFonts w:ascii="VIC" w:hAnsi="VIC"/>
              </w:rPr>
              <w:t>Redeployee</w:t>
            </w:r>
          </w:p>
        </w:tc>
      </w:tr>
      <w:tr w:rsidR="00E60746" w:rsidRPr="00E60746" w14:paraId="44AD37C9" w14:textId="77777777" w:rsidTr="006F343E">
        <w:tc>
          <w:tcPr>
            <w:cnfStyle w:val="001000000000" w:firstRow="0" w:lastRow="0" w:firstColumn="1" w:lastColumn="0" w:oddVBand="0" w:evenVBand="0" w:oddHBand="0" w:evenHBand="0" w:firstRowFirstColumn="0" w:firstRowLastColumn="0" w:lastRowFirstColumn="0" w:lastRowLastColumn="0"/>
            <w:tcW w:w="6658" w:type="dxa"/>
          </w:tcPr>
          <w:p w14:paraId="3652AF9E" w14:textId="77777777" w:rsidR="00E60746" w:rsidRPr="00B64C2E" w:rsidRDefault="00E60746" w:rsidP="00B64C2E">
            <w:pPr>
              <w:pStyle w:val="bodycopy"/>
              <w:rPr>
                <w:b w:val="0"/>
              </w:rPr>
            </w:pPr>
            <w:r w:rsidRPr="00B64C2E">
              <w:rPr>
                <w:b w:val="0"/>
              </w:rPr>
              <w:t xml:space="preserve">Case Manager to facilitate the referral, consideration and feedback by Hiring Managers of the Redeployee’s applications for suitable vacancies within the VPS. </w:t>
            </w:r>
          </w:p>
          <w:p w14:paraId="1D2814B2" w14:textId="77777777" w:rsidR="00E60746" w:rsidRPr="00B64C2E" w:rsidRDefault="00E60746" w:rsidP="00B64C2E">
            <w:pPr>
              <w:pStyle w:val="bodycopy"/>
              <w:rPr>
                <w:b w:val="0"/>
              </w:rPr>
            </w:pPr>
            <w:r w:rsidRPr="00B64C2E">
              <w:rPr>
                <w:b w:val="0"/>
              </w:rPr>
              <w:t xml:space="preserve">The Redeployee to ensure their redeployment priority status is noted on any applications. </w:t>
            </w:r>
          </w:p>
        </w:tc>
        <w:tc>
          <w:tcPr>
            <w:tcW w:w="2409" w:type="dxa"/>
          </w:tcPr>
          <w:p w14:paraId="25AEB167" w14:textId="77777777" w:rsidR="00E60746" w:rsidRPr="00E60746" w:rsidRDefault="00E60746" w:rsidP="006F343E">
            <w:pPr>
              <w:spacing w:before="200"/>
              <w:jc w:val="both"/>
              <w:cnfStyle w:val="000000000000" w:firstRow="0" w:lastRow="0" w:firstColumn="0" w:lastColumn="0" w:oddVBand="0" w:evenVBand="0" w:oddHBand="0" w:evenHBand="0" w:firstRowFirstColumn="0" w:firstRowLastColumn="0" w:lastRowFirstColumn="0" w:lastRowLastColumn="0"/>
              <w:rPr>
                <w:rFonts w:ascii="VIC" w:hAnsi="VIC"/>
              </w:rPr>
            </w:pPr>
            <w:r w:rsidRPr="00E60746">
              <w:rPr>
                <w:rFonts w:ascii="VIC" w:hAnsi="VIC"/>
              </w:rPr>
              <w:t xml:space="preserve">Case Manager </w:t>
            </w:r>
          </w:p>
          <w:p w14:paraId="39D893DC" w14:textId="77777777" w:rsidR="00E60746" w:rsidRPr="00E60746" w:rsidRDefault="00E60746" w:rsidP="006F343E">
            <w:pPr>
              <w:spacing w:before="200"/>
              <w:jc w:val="both"/>
              <w:cnfStyle w:val="000000000000" w:firstRow="0" w:lastRow="0" w:firstColumn="0" w:lastColumn="0" w:oddVBand="0" w:evenVBand="0" w:oddHBand="0" w:evenHBand="0" w:firstRowFirstColumn="0" w:firstRowLastColumn="0" w:lastRowFirstColumn="0" w:lastRowLastColumn="0"/>
              <w:rPr>
                <w:rFonts w:ascii="VIC" w:hAnsi="VIC"/>
              </w:rPr>
            </w:pPr>
            <w:r w:rsidRPr="00E60746">
              <w:rPr>
                <w:rFonts w:ascii="VIC" w:hAnsi="VIC"/>
              </w:rPr>
              <w:t>Redeployee</w:t>
            </w:r>
          </w:p>
        </w:tc>
      </w:tr>
      <w:tr w:rsidR="00E60746" w:rsidRPr="00E60746" w14:paraId="11C14FC0" w14:textId="77777777" w:rsidTr="006F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44420431" w14:textId="77777777" w:rsidR="00E60746" w:rsidRPr="00B64C2E" w:rsidRDefault="00E60746" w:rsidP="00B64C2E">
            <w:pPr>
              <w:pStyle w:val="bodycopy"/>
              <w:rPr>
                <w:b w:val="0"/>
              </w:rPr>
            </w:pPr>
            <w:r w:rsidRPr="00B64C2E">
              <w:rPr>
                <w:b w:val="0"/>
              </w:rPr>
              <w:t xml:space="preserve">Hiring Managers to provide timely feedback to Case Manager (and Redeployee) on the outcome (or status, where requested) of the referred application and/or interview. Case Manager may request this information. </w:t>
            </w:r>
          </w:p>
          <w:p w14:paraId="33A7B467" w14:textId="77777777" w:rsidR="00E60746" w:rsidRPr="00B64C2E" w:rsidRDefault="00E60746" w:rsidP="00B64C2E">
            <w:pPr>
              <w:pStyle w:val="bodycopy"/>
              <w:rPr>
                <w:b w:val="0"/>
              </w:rPr>
            </w:pPr>
            <w:r w:rsidRPr="00B64C2E">
              <w:rPr>
                <w:b w:val="0"/>
              </w:rPr>
              <w:lastRenderedPageBreak/>
              <w:t>Case Manager to ensure that the feedback is or has been promptly shared with the Redeployee.</w:t>
            </w:r>
          </w:p>
        </w:tc>
        <w:tc>
          <w:tcPr>
            <w:tcW w:w="2409" w:type="dxa"/>
          </w:tcPr>
          <w:p w14:paraId="43C09CC6" w14:textId="77777777" w:rsidR="00E60746" w:rsidRPr="00E60746" w:rsidRDefault="00E60746" w:rsidP="006F343E">
            <w:pPr>
              <w:spacing w:before="200"/>
              <w:jc w:val="both"/>
              <w:cnfStyle w:val="000000100000" w:firstRow="0" w:lastRow="0" w:firstColumn="0" w:lastColumn="0" w:oddVBand="0" w:evenVBand="0" w:oddHBand="1" w:evenHBand="0" w:firstRowFirstColumn="0" w:firstRowLastColumn="0" w:lastRowFirstColumn="0" w:lastRowLastColumn="0"/>
              <w:rPr>
                <w:rFonts w:ascii="VIC" w:hAnsi="VIC"/>
              </w:rPr>
            </w:pPr>
            <w:r w:rsidRPr="00E60746">
              <w:rPr>
                <w:rFonts w:ascii="VIC" w:hAnsi="VIC"/>
              </w:rPr>
              <w:lastRenderedPageBreak/>
              <w:t>Case Manager</w:t>
            </w:r>
          </w:p>
          <w:p w14:paraId="4F4B2B19" w14:textId="77777777" w:rsidR="00E60746" w:rsidRPr="00E60746" w:rsidRDefault="00E60746" w:rsidP="006F343E">
            <w:pPr>
              <w:spacing w:before="200"/>
              <w:jc w:val="both"/>
              <w:cnfStyle w:val="000000100000" w:firstRow="0" w:lastRow="0" w:firstColumn="0" w:lastColumn="0" w:oddVBand="0" w:evenVBand="0" w:oddHBand="1" w:evenHBand="0" w:firstRowFirstColumn="0" w:firstRowLastColumn="0" w:lastRowFirstColumn="0" w:lastRowLastColumn="0"/>
              <w:rPr>
                <w:rFonts w:ascii="VIC" w:hAnsi="VIC"/>
              </w:rPr>
            </w:pPr>
            <w:r w:rsidRPr="00E60746">
              <w:rPr>
                <w:rFonts w:ascii="VIC" w:hAnsi="VIC"/>
              </w:rPr>
              <w:t>Hiring manager</w:t>
            </w:r>
          </w:p>
        </w:tc>
      </w:tr>
      <w:tr w:rsidR="00E60746" w:rsidRPr="00E60746" w14:paraId="62F353B0" w14:textId="77777777" w:rsidTr="006F343E">
        <w:tc>
          <w:tcPr>
            <w:cnfStyle w:val="001000000000" w:firstRow="0" w:lastRow="0" w:firstColumn="1" w:lastColumn="0" w:oddVBand="0" w:evenVBand="0" w:oddHBand="0" w:evenHBand="0" w:firstRowFirstColumn="0" w:firstRowLastColumn="0" w:lastRowFirstColumn="0" w:lastRowLastColumn="0"/>
            <w:tcW w:w="6658" w:type="dxa"/>
          </w:tcPr>
          <w:p w14:paraId="401D4148" w14:textId="77777777" w:rsidR="00E60746" w:rsidRPr="00B64C2E" w:rsidRDefault="00E60746" w:rsidP="00B64C2E">
            <w:pPr>
              <w:pStyle w:val="bodycopy"/>
              <w:rPr>
                <w:b w:val="0"/>
              </w:rPr>
            </w:pPr>
            <w:r w:rsidRPr="00B64C2E">
              <w:rPr>
                <w:b w:val="0"/>
              </w:rPr>
              <w:t>Provide the Case Manager with a summary of all ongoing roles applied for and interviews attended.</w:t>
            </w:r>
          </w:p>
        </w:tc>
        <w:tc>
          <w:tcPr>
            <w:tcW w:w="2409" w:type="dxa"/>
          </w:tcPr>
          <w:p w14:paraId="3D5E3A67" w14:textId="77777777" w:rsidR="00E60746" w:rsidRPr="00E60746" w:rsidRDefault="00E60746" w:rsidP="006F343E">
            <w:pPr>
              <w:spacing w:before="200"/>
              <w:jc w:val="both"/>
              <w:cnfStyle w:val="000000000000" w:firstRow="0" w:lastRow="0" w:firstColumn="0" w:lastColumn="0" w:oddVBand="0" w:evenVBand="0" w:oddHBand="0" w:evenHBand="0" w:firstRowFirstColumn="0" w:firstRowLastColumn="0" w:lastRowFirstColumn="0" w:lastRowLastColumn="0"/>
              <w:rPr>
                <w:rFonts w:ascii="VIC" w:hAnsi="VIC"/>
              </w:rPr>
            </w:pPr>
            <w:r w:rsidRPr="00E60746">
              <w:rPr>
                <w:rFonts w:ascii="VIC" w:hAnsi="VIC"/>
              </w:rPr>
              <w:t>Redeployee</w:t>
            </w:r>
          </w:p>
        </w:tc>
      </w:tr>
      <w:tr w:rsidR="00E60746" w:rsidRPr="00E60746" w14:paraId="6683EF68" w14:textId="77777777" w:rsidTr="006F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BDE71B6" w14:textId="77777777" w:rsidR="00E60746" w:rsidRPr="00B64C2E" w:rsidRDefault="00E60746" w:rsidP="00B64C2E">
            <w:pPr>
              <w:pStyle w:val="bodycopy"/>
              <w:rPr>
                <w:b w:val="0"/>
              </w:rPr>
            </w:pPr>
            <w:r w:rsidRPr="00B64C2E">
              <w:rPr>
                <w:b w:val="0"/>
              </w:rPr>
              <w:t>Where a Redeployee has been referred for an ongoing vacancy and has been assessed by the Hiring Manager as being suitable and is the only Redeployee candidate or is the best Redeployee candidate, the Redeployee will be given priority access to the vacancy and a valid offer will be made (as described in part 7 below).</w:t>
            </w:r>
          </w:p>
        </w:tc>
        <w:tc>
          <w:tcPr>
            <w:tcW w:w="2409" w:type="dxa"/>
          </w:tcPr>
          <w:p w14:paraId="0FBD26BE" w14:textId="77777777" w:rsidR="00E60746" w:rsidRPr="00E60746" w:rsidRDefault="00E60746" w:rsidP="006F343E">
            <w:pPr>
              <w:spacing w:before="200"/>
              <w:jc w:val="both"/>
              <w:cnfStyle w:val="000000100000" w:firstRow="0" w:lastRow="0" w:firstColumn="0" w:lastColumn="0" w:oddVBand="0" w:evenVBand="0" w:oddHBand="1" w:evenHBand="0" w:firstRowFirstColumn="0" w:firstRowLastColumn="0" w:lastRowFirstColumn="0" w:lastRowLastColumn="0"/>
              <w:rPr>
                <w:rFonts w:ascii="VIC" w:hAnsi="VIC"/>
              </w:rPr>
            </w:pPr>
            <w:r w:rsidRPr="00E60746">
              <w:rPr>
                <w:rFonts w:ascii="VIC" w:hAnsi="VIC"/>
              </w:rPr>
              <w:t>Hiring manager</w:t>
            </w:r>
          </w:p>
        </w:tc>
      </w:tr>
      <w:tr w:rsidR="00E60746" w:rsidRPr="00E60746" w14:paraId="01D6C22B" w14:textId="77777777" w:rsidTr="006F343E">
        <w:tc>
          <w:tcPr>
            <w:cnfStyle w:val="001000000000" w:firstRow="0" w:lastRow="0" w:firstColumn="1" w:lastColumn="0" w:oddVBand="0" w:evenVBand="0" w:oddHBand="0" w:evenHBand="0" w:firstRowFirstColumn="0" w:firstRowLastColumn="0" w:lastRowFirstColumn="0" w:lastRowLastColumn="0"/>
            <w:tcW w:w="6658" w:type="dxa"/>
          </w:tcPr>
          <w:p w14:paraId="6E84654F" w14:textId="77777777" w:rsidR="00E60746" w:rsidRPr="00B64C2E" w:rsidRDefault="00E60746" w:rsidP="00B64C2E">
            <w:pPr>
              <w:pStyle w:val="bodycopy"/>
              <w:rPr>
                <w:b w:val="0"/>
              </w:rPr>
            </w:pPr>
            <w:r w:rsidRPr="00B64C2E">
              <w:rPr>
                <w:b w:val="0"/>
              </w:rPr>
              <w:t>Ensure a Targeted Separation Package (TSP) estimates is provided to the Redeployee where requested.</w:t>
            </w:r>
          </w:p>
        </w:tc>
        <w:tc>
          <w:tcPr>
            <w:tcW w:w="2409" w:type="dxa"/>
          </w:tcPr>
          <w:p w14:paraId="682F838E" w14:textId="77777777" w:rsidR="00E60746" w:rsidRPr="00E60746" w:rsidRDefault="00E60746" w:rsidP="006F343E">
            <w:pPr>
              <w:spacing w:before="200"/>
              <w:jc w:val="both"/>
              <w:cnfStyle w:val="000000000000" w:firstRow="0" w:lastRow="0" w:firstColumn="0" w:lastColumn="0" w:oddVBand="0" w:evenVBand="0" w:oddHBand="0" w:evenHBand="0" w:firstRowFirstColumn="0" w:firstRowLastColumn="0" w:lastRowFirstColumn="0" w:lastRowLastColumn="0"/>
              <w:rPr>
                <w:rFonts w:ascii="VIC" w:hAnsi="VIC"/>
              </w:rPr>
            </w:pPr>
            <w:r w:rsidRPr="00E60746">
              <w:rPr>
                <w:rFonts w:ascii="VIC" w:hAnsi="VIC"/>
              </w:rPr>
              <w:t>Case Manager</w:t>
            </w:r>
          </w:p>
        </w:tc>
      </w:tr>
      <w:tr w:rsidR="00E60746" w:rsidRPr="00E60746" w14:paraId="621490F3" w14:textId="77777777" w:rsidTr="006F34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26E3AE76" w14:textId="77777777" w:rsidR="00E60746" w:rsidRPr="00B64C2E" w:rsidRDefault="00E60746" w:rsidP="00B64C2E">
            <w:pPr>
              <w:pStyle w:val="bodycopy"/>
              <w:rPr>
                <w:b w:val="0"/>
              </w:rPr>
            </w:pPr>
            <w:r w:rsidRPr="00B64C2E">
              <w:rPr>
                <w:b w:val="0"/>
              </w:rPr>
              <w:t>In consultation with any other relevant parties, which may include the Redeployee’s supervisor/manager, identify and discuss with the Redeployee when all redeployment options have been exhausted and provide support and advice on the redundancy process.</w:t>
            </w:r>
          </w:p>
        </w:tc>
        <w:tc>
          <w:tcPr>
            <w:tcW w:w="2409" w:type="dxa"/>
          </w:tcPr>
          <w:p w14:paraId="07A89940" w14:textId="77777777" w:rsidR="00E60746" w:rsidRPr="00E60746" w:rsidRDefault="00E60746" w:rsidP="006F343E">
            <w:pPr>
              <w:spacing w:before="200"/>
              <w:jc w:val="both"/>
              <w:cnfStyle w:val="000000100000" w:firstRow="0" w:lastRow="0" w:firstColumn="0" w:lastColumn="0" w:oddVBand="0" w:evenVBand="0" w:oddHBand="1" w:evenHBand="0" w:firstRowFirstColumn="0" w:firstRowLastColumn="0" w:lastRowFirstColumn="0" w:lastRowLastColumn="0"/>
              <w:rPr>
                <w:rFonts w:ascii="VIC" w:hAnsi="VIC"/>
              </w:rPr>
            </w:pPr>
            <w:r w:rsidRPr="00E60746">
              <w:rPr>
                <w:rFonts w:ascii="VIC" w:hAnsi="VIC"/>
              </w:rPr>
              <w:t>Case Manager</w:t>
            </w:r>
          </w:p>
          <w:p w14:paraId="6A0BCF17" w14:textId="77777777" w:rsidR="00E60746" w:rsidRPr="00E60746" w:rsidRDefault="00E60746" w:rsidP="006F343E">
            <w:pPr>
              <w:spacing w:before="200"/>
              <w:jc w:val="both"/>
              <w:cnfStyle w:val="000000100000" w:firstRow="0" w:lastRow="0" w:firstColumn="0" w:lastColumn="0" w:oddVBand="0" w:evenVBand="0" w:oddHBand="1" w:evenHBand="0" w:firstRowFirstColumn="0" w:firstRowLastColumn="0" w:lastRowFirstColumn="0" w:lastRowLastColumn="0"/>
              <w:rPr>
                <w:rFonts w:ascii="VIC" w:hAnsi="VIC"/>
              </w:rPr>
            </w:pPr>
            <w:r w:rsidRPr="00E60746">
              <w:rPr>
                <w:rFonts w:ascii="VIC" w:hAnsi="VIC"/>
              </w:rPr>
              <w:t>Employer/Supervisor</w:t>
            </w:r>
          </w:p>
        </w:tc>
      </w:tr>
    </w:tbl>
    <w:p w14:paraId="71525D37" w14:textId="77777777" w:rsidR="00E60746" w:rsidRPr="000C10A7" w:rsidRDefault="00E60746" w:rsidP="000C10A7">
      <w:pPr>
        <w:pStyle w:val="heading2black"/>
        <w:keepNext w:val="0"/>
        <w:numPr>
          <w:ilvl w:val="0"/>
          <w:numId w:val="35"/>
        </w:numPr>
        <w:ind w:left="709" w:hanging="709"/>
        <w:outlineLvl w:val="1"/>
        <w:rPr>
          <w:color w:val="595959" w:themeColor="text1" w:themeTint="A6"/>
        </w:rPr>
      </w:pPr>
      <w:bookmarkStart w:id="40" w:name="_Toc9433210"/>
      <w:bookmarkStart w:id="41" w:name="_Toc19700264"/>
      <w:bookmarkStart w:id="42" w:name="_Toc19713470"/>
      <w:r w:rsidRPr="000C10A7">
        <w:rPr>
          <w:color w:val="595959" w:themeColor="text1" w:themeTint="A6"/>
        </w:rPr>
        <w:t>Assessing a Redeployee’s suitability for a vacant position</w:t>
      </w:r>
      <w:bookmarkEnd w:id="40"/>
      <w:bookmarkEnd w:id="41"/>
      <w:bookmarkEnd w:id="42"/>
      <w:r w:rsidRPr="000C10A7">
        <w:rPr>
          <w:color w:val="595959" w:themeColor="text1" w:themeTint="A6"/>
        </w:rPr>
        <w:t xml:space="preserve">  </w:t>
      </w:r>
    </w:p>
    <w:p w14:paraId="7FCF07A1" w14:textId="77777777" w:rsidR="00E60746" w:rsidRPr="00E60746" w:rsidRDefault="00E60746" w:rsidP="00E60746">
      <w:pPr>
        <w:pStyle w:val="bodycopy"/>
        <w:numPr>
          <w:ilvl w:val="1"/>
          <w:numId w:val="35"/>
        </w:numPr>
        <w:spacing w:before="120"/>
        <w:ind w:left="720" w:hanging="720"/>
      </w:pPr>
      <w:r w:rsidRPr="00E60746">
        <w:t>In reviewing a Redeployee’s suitability to be placed in a vacant ongoing position, the prospective Employer will consider:</w:t>
      </w:r>
    </w:p>
    <w:p w14:paraId="4464A70C" w14:textId="77777777" w:rsidR="00E60746" w:rsidRPr="00E60746" w:rsidRDefault="00E60746" w:rsidP="00E60746">
      <w:pPr>
        <w:pStyle w:val="bodycopy"/>
        <w:numPr>
          <w:ilvl w:val="2"/>
          <w:numId w:val="35"/>
        </w:numPr>
        <w:spacing w:before="120"/>
        <w:ind w:left="1418" w:hanging="709"/>
      </w:pPr>
      <w:r w:rsidRPr="00E60746">
        <w:t>priority access applicable to Redeployees to be placed in an ongoing vacancy where it is practical and consistent with the merit principle, unless the person is determined to be unsuitable.</w:t>
      </w:r>
    </w:p>
    <w:p w14:paraId="64693F10" w14:textId="77777777" w:rsidR="00E60746" w:rsidRPr="00E60746" w:rsidRDefault="00E60746" w:rsidP="00E60746">
      <w:pPr>
        <w:pStyle w:val="bodycopy"/>
        <w:numPr>
          <w:ilvl w:val="2"/>
          <w:numId w:val="35"/>
        </w:numPr>
        <w:spacing w:before="120"/>
        <w:ind w:left="1418" w:hanging="709"/>
      </w:pPr>
      <w:r w:rsidRPr="00E60746">
        <w:t>whether the Redeployee has the skills, capabilities, experience and/or qualifications, or would be able to undertake the requirements of the position with reasonable training;</w:t>
      </w:r>
    </w:p>
    <w:p w14:paraId="34A5427F" w14:textId="77777777" w:rsidR="00E60746" w:rsidRPr="00E60746" w:rsidRDefault="00E60746" w:rsidP="00E60746">
      <w:pPr>
        <w:pStyle w:val="bodycopy"/>
        <w:numPr>
          <w:ilvl w:val="2"/>
          <w:numId w:val="35"/>
        </w:numPr>
        <w:spacing w:before="120"/>
        <w:ind w:left="1418" w:hanging="709"/>
      </w:pPr>
      <w:r w:rsidRPr="00E60746">
        <w:t>whether offering the Redeployee the vacant ongoing position would significantly alter their travel arrangements and place them in a position of undue hardship; and</w:t>
      </w:r>
    </w:p>
    <w:p w14:paraId="42F4DB60" w14:textId="77777777" w:rsidR="00E60746" w:rsidRPr="00E60746" w:rsidRDefault="00E60746" w:rsidP="00E60746">
      <w:pPr>
        <w:pStyle w:val="bodycopy"/>
        <w:numPr>
          <w:ilvl w:val="2"/>
          <w:numId w:val="35"/>
        </w:numPr>
        <w:spacing w:before="120"/>
        <w:ind w:left="1418" w:hanging="709"/>
      </w:pPr>
      <w:r w:rsidRPr="00E60746">
        <w:t>whether the Redeployee has expressed interest in being considered for duties at a lower level, or status, or location.</w:t>
      </w:r>
    </w:p>
    <w:p w14:paraId="4690D887" w14:textId="77777777" w:rsidR="00E60746" w:rsidRPr="00335417" w:rsidRDefault="00E60746" w:rsidP="000C10A7">
      <w:pPr>
        <w:pStyle w:val="heading2black"/>
        <w:keepNext w:val="0"/>
        <w:numPr>
          <w:ilvl w:val="0"/>
          <w:numId w:val="35"/>
        </w:numPr>
        <w:ind w:left="709" w:hanging="709"/>
        <w:outlineLvl w:val="1"/>
        <w:rPr>
          <w:color w:val="595959" w:themeColor="text1" w:themeTint="A6"/>
        </w:rPr>
      </w:pPr>
      <w:bookmarkStart w:id="43" w:name="_Toc9433211"/>
      <w:bookmarkStart w:id="44" w:name="_Toc19700265"/>
      <w:bookmarkStart w:id="45" w:name="_Toc19713471"/>
      <w:r w:rsidRPr="00335417">
        <w:rPr>
          <w:color w:val="595959" w:themeColor="text1" w:themeTint="A6"/>
        </w:rPr>
        <w:t>Offer of Valid Employment</w:t>
      </w:r>
      <w:bookmarkEnd w:id="43"/>
      <w:bookmarkEnd w:id="44"/>
      <w:bookmarkEnd w:id="45"/>
    </w:p>
    <w:p w14:paraId="3DCF870A" w14:textId="77777777" w:rsidR="00E60746" w:rsidRPr="00E60746" w:rsidRDefault="00E60746" w:rsidP="00E60746">
      <w:pPr>
        <w:pStyle w:val="bodycopy"/>
        <w:numPr>
          <w:ilvl w:val="1"/>
          <w:numId w:val="35"/>
        </w:numPr>
        <w:ind w:left="720" w:hanging="720"/>
      </w:pPr>
      <w:r w:rsidRPr="00E60746">
        <w:t xml:space="preserve">A valid offer involves an offer of ongoing duties to a suitably qualified Redeployee, with the same Employer or another Employer covered by the VPS Agreement, which may be at the same or lower classification level, or status, or the same or different general location as the Redeployee’s previous employment (where this change of level, status or location is acceptable to the Redeployee). </w:t>
      </w:r>
    </w:p>
    <w:p w14:paraId="3F3A72A7" w14:textId="496FE352" w:rsidR="00B64C2E" w:rsidRPr="00353372" w:rsidRDefault="00E60746" w:rsidP="00353372">
      <w:pPr>
        <w:pStyle w:val="bodycopy"/>
        <w:numPr>
          <w:ilvl w:val="1"/>
          <w:numId w:val="35"/>
        </w:numPr>
        <w:spacing w:after="0"/>
        <w:ind w:left="720" w:hanging="720"/>
      </w:pPr>
      <w:r w:rsidRPr="00E60746">
        <w:t xml:space="preserve">Where the Redeployee accepts a valid offer of ongoing duties, the redeployment process concludes. </w:t>
      </w:r>
      <w:r w:rsidR="00B64C2E">
        <w:br w:type="page"/>
      </w:r>
    </w:p>
    <w:p w14:paraId="05F6C0DA" w14:textId="77777777" w:rsidR="00E60746" w:rsidRPr="00E60746" w:rsidRDefault="00E60746" w:rsidP="00E60746">
      <w:pPr>
        <w:pStyle w:val="bodycopy"/>
        <w:numPr>
          <w:ilvl w:val="1"/>
          <w:numId w:val="35"/>
        </w:numPr>
        <w:ind w:left="720" w:hanging="720"/>
      </w:pPr>
      <w:r w:rsidRPr="00E60746">
        <w:lastRenderedPageBreak/>
        <w:t>In the case of appointment to an ongoing role at a lower level or classification, the Redeployee will be entitled to salary maintenance for up to six</w:t>
      </w:r>
      <w:r w:rsidRPr="00E60746">
        <w:rPr>
          <w:rFonts w:ascii="Cambria" w:hAnsi="Cambria" w:cs="Cambria"/>
        </w:rPr>
        <w:t> </w:t>
      </w:r>
      <w:r w:rsidRPr="00E60746">
        <w:t>months, unless otherwise agreed. If the appointment is to another Victorian public service body, the department or agency at which the Redeployee was originally declared surplus will be responsible for salary maintenance, unless alternative arrangements are agreed.</w:t>
      </w:r>
    </w:p>
    <w:p w14:paraId="66511C32" w14:textId="77777777" w:rsidR="00E60746" w:rsidRPr="00E60746" w:rsidRDefault="00E60746" w:rsidP="00E60746">
      <w:pPr>
        <w:pStyle w:val="bodycopy"/>
        <w:numPr>
          <w:ilvl w:val="1"/>
          <w:numId w:val="35"/>
        </w:numPr>
        <w:ind w:left="720" w:hanging="720"/>
      </w:pPr>
      <w:r w:rsidRPr="00E60746">
        <w:t xml:space="preserve">Where the Redeployee: </w:t>
      </w:r>
    </w:p>
    <w:p w14:paraId="50B3A26C" w14:textId="77777777" w:rsidR="00E60746" w:rsidRPr="00E60746" w:rsidRDefault="00E60746" w:rsidP="00E60746">
      <w:pPr>
        <w:pStyle w:val="bodycopy"/>
        <w:numPr>
          <w:ilvl w:val="2"/>
          <w:numId w:val="35"/>
        </w:numPr>
      </w:pPr>
      <w:r w:rsidRPr="00E60746">
        <w:t xml:space="preserve">declines an offer of redeployment with the Employer; or </w:t>
      </w:r>
    </w:p>
    <w:p w14:paraId="166AF788" w14:textId="77777777" w:rsidR="00E60746" w:rsidRPr="00E60746" w:rsidRDefault="00E60746" w:rsidP="00E60746">
      <w:pPr>
        <w:pStyle w:val="bodycopy"/>
        <w:numPr>
          <w:ilvl w:val="2"/>
          <w:numId w:val="35"/>
        </w:numPr>
      </w:pPr>
      <w:r w:rsidRPr="00E60746">
        <w:t xml:space="preserve">in the case of employee transfer, chooses not to apply for a suitable position; or </w:t>
      </w:r>
    </w:p>
    <w:p w14:paraId="20A6DE45" w14:textId="77777777" w:rsidR="00E60746" w:rsidRPr="00E60746" w:rsidRDefault="00E60746" w:rsidP="00E60746">
      <w:pPr>
        <w:pStyle w:val="bodycopy"/>
        <w:numPr>
          <w:ilvl w:val="2"/>
          <w:numId w:val="35"/>
        </w:numPr>
      </w:pPr>
      <w:r w:rsidRPr="00E60746">
        <w:t xml:space="preserve">rejects or fails to accept a suitable offer of employment, </w:t>
      </w:r>
    </w:p>
    <w:p w14:paraId="3CA9C9F2" w14:textId="77777777" w:rsidR="00E60746" w:rsidRPr="00E60746" w:rsidRDefault="00E60746" w:rsidP="00E60746">
      <w:pPr>
        <w:pStyle w:val="bodycopy"/>
        <w:ind w:left="1224"/>
      </w:pPr>
      <w:r w:rsidRPr="00E60746">
        <w:t xml:space="preserve">the reasons for refusal should be recorded in writing and the remainder of the Redeployment Period will continue. </w:t>
      </w:r>
    </w:p>
    <w:p w14:paraId="58B50A53" w14:textId="77777777" w:rsidR="00E60746" w:rsidRPr="00335417" w:rsidRDefault="00E60746" w:rsidP="000C10A7">
      <w:pPr>
        <w:pStyle w:val="heading2black"/>
        <w:keepNext w:val="0"/>
        <w:numPr>
          <w:ilvl w:val="0"/>
          <w:numId w:val="35"/>
        </w:numPr>
        <w:ind w:left="709" w:hanging="709"/>
        <w:outlineLvl w:val="1"/>
        <w:rPr>
          <w:color w:val="595959" w:themeColor="text1" w:themeTint="A6"/>
        </w:rPr>
      </w:pPr>
      <w:bookmarkStart w:id="46" w:name="_Toc9433212"/>
      <w:bookmarkStart w:id="47" w:name="_Toc19700266"/>
      <w:bookmarkStart w:id="48" w:name="_Toc19713472"/>
      <w:r w:rsidRPr="00335417">
        <w:rPr>
          <w:color w:val="595959" w:themeColor="text1" w:themeTint="A6"/>
        </w:rPr>
        <w:t>Assignment/Secondment to a specific term vacancy of up to three months</w:t>
      </w:r>
      <w:bookmarkEnd w:id="46"/>
      <w:bookmarkEnd w:id="47"/>
      <w:bookmarkEnd w:id="48"/>
    </w:p>
    <w:p w14:paraId="345A01F2" w14:textId="77777777" w:rsidR="00E60746" w:rsidRPr="00E60746" w:rsidRDefault="00E60746" w:rsidP="00E60746">
      <w:pPr>
        <w:pStyle w:val="bodycopy"/>
        <w:numPr>
          <w:ilvl w:val="1"/>
          <w:numId w:val="35"/>
        </w:numPr>
        <w:ind w:left="720" w:hanging="720"/>
      </w:pPr>
      <w:r w:rsidRPr="00E60746">
        <w:t>In this instance, the Assignment/Secondment to a specific term vacancy (Assignment/Secondment) does not count towards the minimum three month Redeployment Period. Following completion of the Assignment/Secondment, the Redeployment Period resumes until the balance of the minimum three month Redeployment Period is complete.</w:t>
      </w:r>
    </w:p>
    <w:p w14:paraId="7C097B0D" w14:textId="77777777" w:rsidR="00E60746" w:rsidRPr="00E60746" w:rsidRDefault="00E60746" w:rsidP="00E60746">
      <w:pPr>
        <w:pStyle w:val="bodycopy"/>
        <w:numPr>
          <w:ilvl w:val="1"/>
          <w:numId w:val="35"/>
        </w:numPr>
        <w:ind w:left="720" w:hanging="720"/>
      </w:pPr>
      <w:r w:rsidRPr="00E60746">
        <w:t xml:space="preserve">Engagement between the case manager and Redeployee to pursue ongoing vacancies must continue throughout the Assignment/Secondment and the Redeployee will continue to have priority access to vacancies during the term of their Assignment/Secondment. </w:t>
      </w:r>
    </w:p>
    <w:p w14:paraId="12C28F45" w14:textId="77777777" w:rsidR="00E60746" w:rsidRPr="00335417" w:rsidRDefault="00E60746" w:rsidP="000C10A7">
      <w:pPr>
        <w:pStyle w:val="heading2black"/>
        <w:keepNext w:val="0"/>
        <w:numPr>
          <w:ilvl w:val="0"/>
          <w:numId w:val="35"/>
        </w:numPr>
        <w:ind w:left="709" w:hanging="709"/>
        <w:outlineLvl w:val="1"/>
        <w:rPr>
          <w:color w:val="595959" w:themeColor="text1" w:themeTint="A6"/>
        </w:rPr>
      </w:pPr>
      <w:bookmarkStart w:id="49" w:name="_Toc9433213"/>
      <w:bookmarkStart w:id="50" w:name="_Toc19700267"/>
      <w:bookmarkStart w:id="51" w:name="_Toc19713473"/>
      <w:r w:rsidRPr="00335417">
        <w:rPr>
          <w:color w:val="595959" w:themeColor="text1" w:themeTint="A6"/>
        </w:rPr>
        <w:t>Assignment/Secondment to a specific term vacancy of more than three months</w:t>
      </w:r>
      <w:bookmarkEnd w:id="49"/>
      <w:bookmarkEnd w:id="50"/>
      <w:bookmarkEnd w:id="51"/>
    </w:p>
    <w:p w14:paraId="4CFF131F" w14:textId="77777777" w:rsidR="00E60746" w:rsidRPr="00E60746" w:rsidRDefault="00E60746" w:rsidP="00E60746">
      <w:pPr>
        <w:pStyle w:val="bodycopy"/>
        <w:numPr>
          <w:ilvl w:val="1"/>
          <w:numId w:val="35"/>
        </w:numPr>
        <w:ind w:left="720" w:hanging="720"/>
      </w:pPr>
      <w:r w:rsidRPr="00E60746">
        <w:t xml:space="preserve">In this instance, the Redeployee’s entitlement to a minimum three month Redeployment Period may be carried out concurrently with, or added at the end of, an Assignment/Secondment). The duration and nature of the Assignment/Secondment may be relevant to which approach is appropriate in the circumstances.  </w:t>
      </w:r>
    </w:p>
    <w:p w14:paraId="708D69EB" w14:textId="77777777" w:rsidR="00E60746" w:rsidRPr="00E60746" w:rsidRDefault="00E60746" w:rsidP="00E60746">
      <w:pPr>
        <w:pStyle w:val="bodycopy"/>
        <w:numPr>
          <w:ilvl w:val="1"/>
          <w:numId w:val="35"/>
        </w:numPr>
        <w:ind w:left="720" w:hanging="720"/>
      </w:pPr>
      <w:r w:rsidRPr="00E60746">
        <w:t xml:space="preserve">Engagement between the case manager and Redeployee to pursue ongoing vacancies must continue throughout the Assignment/Secondment and the Redeployee will continue to have priority access to vacancies during the term of their Assignment/Secondment. </w:t>
      </w:r>
    </w:p>
    <w:p w14:paraId="7C255E85" w14:textId="77777777" w:rsidR="00E60746" w:rsidRPr="00335417" w:rsidRDefault="00E60746" w:rsidP="000C10A7">
      <w:pPr>
        <w:pStyle w:val="heading2black"/>
        <w:keepNext w:val="0"/>
        <w:numPr>
          <w:ilvl w:val="0"/>
          <w:numId w:val="35"/>
        </w:numPr>
        <w:ind w:left="709" w:hanging="709"/>
        <w:outlineLvl w:val="1"/>
        <w:rPr>
          <w:color w:val="595959" w:themeColor="text1" w:themeTint="A6"/>
        </w:rPr>
      </w:pPr>
      <w:bookmarkStart w:id="52" w:name="_Toc9433214"/>
      <w:bookmarkStart w:id="53" w:name="_Toc19700268"/>
      <w:bookmarkStart w:id="54" w:name="_Toc19713474"/>
      <w:r w:rsidRPr="00335417">
        <w:rPr>
          <w:color w:val="595959" w:themeColor="text1" w:themeTint="A6"/>
        </w:rPr>
        <w:t>Applications for leave during the redeployment process</w:t>
      </w:r>
      <w:bookmarkEnd w:id="52"/>
      <w:bookmarkEnd w:id="53"/>
      <w:bookmarkEnd w:id="54"/>
    </w:p>
    <w:p w14:paraId="40A801C9" w14:textId="77777777" w:rsidR="00E60746" w:rsidRPr="00E60746" w:rsidRDefault="00E60746" w:rsidP="00E60746">
      <w:pPr>
        <w:pStyle w:val="bodycopy"/>
        <w:numPr>
          <w:ilvl w:val="1"/>
          <w:numId w:val="35"/>
        </w:numPr>
        <w:ind w:left="720" w:hanging="720"/>
      </w:pPr>
      <w:r w:rsidRPr="00E60746">
        <w:t xml:space="preserve">The Employer will consider requests for leave during the redeployment period on its merits and according to the relevant common policy for the form of leave requested, or where there is no common policy dealing with a specific form of leave, the specific department or agency’s policy will apply. </w:t>
      </w:r>
    </w:p>
    <w:p w14:paraId="08596466" w14:textId="67EAA531" w:rsidR="00B64C2E" w:rsidRDefault="00E60746" w:rsidP="00E60746">
      <w:pPr>
        <w:pStyle w:val="bodycopy"/>
        <w:numPr>
          <w:ilvl w:val="1"/>
          <w:numId w:val="35"/>
        </w:numPr>
        <w:ind w:left="720" w:hanging="720"/>
      </w:pPr>
      <w:r w:rsidRPr="00E60746">
        <w:t xml:space="preserve">An Employee’s entitlement to leave is unchanged by their surplus status or participation in redeployment, however, it may be relevant for the Employer to consider any relevant adverse implications to the surplus Employee’s redeployment prospects or unreasonable delays that may result from approving an application for leave from a surplus Employee. Redeployment alone should not prevent the Employer from approving a leave request. </w:t>
      </w:r>
    </w:p>
    <w:p w14:paraId="686D5181" w14:textId="2FD04376" w:rsidR="00E60746" w:rsidRPr="00335417" w:rsidRDefault="00B64C2E" w:rsidP="000C10A7">
      <w:pPr>
        <w:pStyle w:val="heading2black"/>
        <w:keepNext w:val="0"/>
        <w:numPr>
          <w:ilvl w:val="0"/>
          <w:numId w:val="35"/>
        </w:numPr>
        <w:ind w:left="709" w:hanging="709"/>
        <w:outlineLvl w:val="1"/>
        <w:rPr>
          <w:color w:val="595959" w:themeColor="text1" w:themeTint="A6"/>
        </w:rPr>
      </w:pPr>
      <w:r>
        <w:br w:type="column"/>
      </w:r>
      <w:bookmarkStart w:id="55" w:name="_Toc9433215"/>
      <w:bookmarkStart w:id="56" w:name="_Toc19700269"/>
      <w:r w:rsidR="00E60746" w:rsidRPr="00335417">
        <w:rPr>
          <w:color w:val="595959" w:themeColor="text1" w:themeTint="A6"/>
        </w:rPr>
        <w:lastRenderedPageBreak/>
        <w:t>Employee Safeguards</w:t>
      </w:r>
      <w:bookmarkEnd w:id="55"/>
      <w:bookmarkEnd w:id="56"/>
    </w:p>
    <w:p w14:paraId="44DCA166" w14:textId="77777777" w:rsidR="00E60746" w:rsidRPr="00E60746" w:rsidRDefault="00E60746" w:rsidP="00E60746">
      <w:pPr>
        <w:pStyle w:val="bodycopy"/>
        <w:numPr>
          <w:ilvl w:val="1"/>
          <w:numId w:val="35"/>
        </w:numPr>
        <w:ind w:left="720" w:hanging="720"/>
      </w:pPr>
      <w:r w:rsidRPr="00E60746">
        <w:t xml:space="preserve">The VPS Redeployment Policy prescribes certain Employee safeguards. </w:t>
      </w:r>
    </w:p>
    <w:p w14:paraId="5F28903B" w14:textId="77777777" w:rsidR="00E60746" w:rsidRPr="00E60746" w:rsidRDefault="00E60746" w:rsidP="00E60746">
      <w:pPr>
        <w:pStyle w:val="bodycopy"/>
        <w:numPr>
          <w:ilvl w:val="1"/>
          <w:numId w:val="35"/>
        </w:numPr>
        <w:ind w:left="720" w:hanging="720"/>
      </w:pPr>
      <w:r w:rsidRPr="00E60746">
        <w:t>Employers are also encouraged to implement a range of other measures, which may include (but not limited to):</w:t>
      </w:r>
    </w:p>
    <w:p w14:paraId="323220E5" w14:textId="77777777" w:rsidR="00E60746" w:rsidRPr="00E60746" w:rsidRDefault="00E60746" w:rsidP="00E60746">
      <w:pPr>
        <w:pStyle w:val="bodycopy"/>
        <w:numPr>
          <w:ilvl w:val="2"/>
          <w:numId w:val="35"/>
        </w:numPr>
        <w:spacing w:before="120"/>
        <w:ind w:left="1418" w:hanging="709"/>
      </w:pPr>
      <w:r w:rsidRPr="00E60746">
        <w:t>ensuring Redeployees have regular and meaningful work, appropriate to their skills and experience, during the redeployment process. This may include an Assignment/Secondment in the branch, division or group or elsewhere in the Employer’s operations;</w:t>
      </w:r>
    </w:p>
    <w:p w14:paraId="4824B587" w14:textId="77777777" w:rsidR="00E60746" w:rsidRPr="00E60746" w:rsidRDefault="00E60746" w:rsidP="00E60746">
      <w:pPr>
        <w:pStyle w:val="bodycopy"/>
        <w:numPr>
          <w:ilvl w:val="2"/>
          <w:numId w:val="35"/>
        </w:numPr>
        <w:spacing w:before="120"/>
        <w:ind w:left="1418" w:hanging="709"/>
      </w:pPr>
      <w:r w:rsidRPr="00E60746">
        <w:t>ensuring the Redeployee has adequate time and resources to update their resume, identify job opportunities, write job applications and prepare for and attend interviews;</w:t>
      </w:r>
    </w:p>
    <w:p w14:paraId="4354C8B2" w14:textId="77777777" w:rsidR="00E60746" w:rsidRPr="00E60746" w:rsidRDefault="00E60746" w:rsidP="00E60746">
      <w:pPr>
        <w:pStyle w:val="bodycopy"/>
        <w:numPr>
          <w:ilvl w:val="2"/>
          <w:numId w:val="35"/>
        </w:numPr>
        <w:spacing w:before="120"/>
        <w:ind w:left="1418" w:hanging="709"/>
      </w:pPr>
      <w:r w:rsidRPr="00E60746">
        <w:t>ensuring that the Redeployee is able to attend relevant career development and other support activities and services;</w:t>
      </w:r>
    </w:p>
    <w:p w14:paraId="26A42789" w14:textId="77777777" w:rsidR="00E60746" w:rsidRPr="00E60746" w:rsidRDefault="00E60746" w:rsidP="00E60746">
      <w:pPr>
        <w:pStyle w:val="bodycopy"/>
        <w:numPr>
          <w:ilvl w:val="2"/>
          <w:numId w:val="35"/>
        </w:numPr>
        <w:spacing w:before="120"/>
        <w:ind w:left="1418" w:hanging="709"/>
      </w:pPr>
      <w:r w:rsidRPr="00E60746">
        <w:t>ensuring the Redeployee has access to counselling, development of job search skills and career coaching to assist in achieving a suitable position;</w:t>
      </w:r>
    </w:p>
    <w:p w14:paraId="028D8891" w14:textId="77777777" w:rsidR="00E60746" w:rsidRPr="00E60746" w:rsidRDefault="00E60746" w:rsidP="00E60746">
      <w:pPr>
        <w:pStyle w:val="bodycopy"/>
        <w:numPr>
          <w:ilvl w:val="2"/>
          <w:numId w:val="35"/>
        </w:numPr>
        <w:spacing w:before="120"/>
        <w:ind w:left="1418" w:hanging="709"/>
      </w:pPr>
      <w:r w:rsidRPr="00E60746">
        <w:t>provision of reasonable training.</w:t>
      </w:r>
    </w:p>
    <w:p w14:paraId="0ABCD555" w14:textId="77777777" w:rsidR="00E60746" w:rsidRPr="00E60746" w:rsidRDefault="00E60746" w:rsidP="00E60746">
      <w:pPr>
        <w:pStyle w:val="bodycopy"/>
        <w:numPr>
          <w:ilvl w:val="1"/>
          <w:numId w:val="35"/>
        </w:numPr>
        <w:ind w:left="720" w:hanging="720"/>
      </w:pPr>
      <w:r w:rsidRPr="00E60746">
        <w:t xml:space="preserve">Departments and agencies may also consider offering access to career coaching, financial counselling services (to assist surplus Employees better understand their current financial situation and any financial or taxation implications of receiving a separation package) or other similar measures. </w:t>
      </w:r>
    </w:p>
    <w:p w14:paraId="0950C945" w14:textId="77777777" w:rsidR="00E60746" w:rsidRPr="00335417" w:rsidRDefault="00E60746" w:rsidP="000C10A7">
      <w:pPr>
        <w:pStyle w:val="heading2black"/>
        <w:keepNext w:val="0"/>
        <w:numPr>
          <w:ilvl w:val="0"/>
          <w:numId w:val="35"/>
        </w:numPr>
        <w:ind w:left="709" w:hanging="709"/>
        <w:outlineLvl w:val="1"/>
        <w:rPr>
          <w:color w:val="595959" w:themeColor="text1" w:themeTint="A6"/>
        </w:rPr>
      </w:pPr>
      <w:bookmarkStart w:id="57" w:name="_Toc9433216"/>
      <w:bookmarkStart w:id="58" w:name="_Toc19700270"/>
      <w:bookmarkStart w:id="59" w:name="_Toc19713475"/>
      <w:r w:rsidRPr="00335417">
        <w:rPr>
          <w:color w:val="595959" w:themeColor="text1" w:themeTint="A6"/>
        </w:rPr>
        <w:t>End of the redeployment process</w:t>
      </w:r>
      <w:bookmarkEnd w:id="57"/>
      <w:bookmarkEnd w:id="58"/>
      <w:bookmarkEnd w:id="59"/>
    </w:p>
    <w:p w14:paraId="7B4606B0" w14:textId="77777777" w:rsidR="00E60746" w:rsidRPr="00E60746" w:rsidRDefault="00E60746" w:rsidP="00E60746">
      <w:pPr>
        <w:pStyle w:val="bodycopy"/>
        <w:numPr>
          <w:ilvl w:val="1"/>
          <w:numId w:val="35"/>
        </w:numPr>
        <w:ind w:left="720" w:hanging="720"/>
      </w:pPr>
      <w:r w:rsidRPr="00E60746">
        <w:t>The redeployment process ends either when the surplus Employee has been successfully redeployed to an ongoing position, or when the surplus Employee is unable to be redeployed, at the end of the Redeployment Period, whichever occurs first.</w:t>
      </w:r>
    </w:p>
    <w:p w14:paraId="6503F77E" w14:textId="77777777" w:rsidR="00E60746" w:rsidRPr="00E60746" w:rsidRDefault="00E60746" w:rsidP="00E60746">
      <w:pPr>
        <w:pStyle w:val="bodycopy"/>
        <w:numPr>
          <w:ilvl w:val="1"/>
          <w:numId w:val="35"/>
        </w:numPr>
        <w:ind w:left="720" w:hanging="720"/>
      </w:pPr>
      <w:r w:rsidRPr="00E60746">
        <w:t>If redeployment is not achieved at the end of the Redeployment Period, the surplus Employee’s employment may be terminated and the surplus Employee may be eligible to receive a TSP in accordance with the current IR Policies.</w:t>
      </w:r>
    </w:p>
    <w:p w14:paraId="0F4D96DC" w14:textId="643A9555" w:rsidR="00CC35CC" w:rsidRPr="00E60746" w:rsidRDefault="00E60746" w:rsidP="00E60746">
      <w:pPr>
        <w:pStyle w:val="bodycopy"/>
        <w:numPr>
          <w:ilvl w:val="1"/>
          <w:numId w:val="35"/>
        </w:numPr>
        <w:ind w:left="720" w:hanging="720"/>
      </w:pPr>
      <w:r w:rsidRPr="00E60746">
        <w:t>Retrenchment and payment of a TSP is to be used as an action of last resort where redeployment within a reasonable period does not appear likely.</w:t>
      </w:r>
    </w:p>
    <w:p w14:paraId="3A15C1D5" w14:textId="63B8C69A" w:rsidR="007468F6" w:rsidRDefault="007468F6" w:rsidP="003604C6">
      <w:pPr>
        <w:pStyle w:val="TCPHeading2"/>
      </w:pPr>
      <w:bookmarkStart w:id="60" w:name="_Toc19700271"/>
      <w:bookmarkStart w:id="61" w:name="_Toc19713476"/>
      <w:r>
        <w:t>Making decisions under this policy</w:t>
      </w:r>
      <w:bookmarkEnd w:id="19"/>
      <w:bookmarkEnd w:id="27"/>
      <w:bookmarkEnd w:id="60"/>
      <w:bookmarkEnd w:id="61"/>
    </w:p>
    <w:p w14:paraId="420B419D" w14:textId="2F01277D" w:rsidR="00B64C2E" w:rsidRDefault="003974F1">
      <w:pPr>
        <w:spacing w:after="0" w:line="240" w:lineRule="auto"/>
        <w:rPr>
          <w:rFonts w:ascii="VIC" w:eastAsia="Calibri" w:hAnsi="VIC" w:cs="Times New Roman"/>
          <w:color w:val="004C97"/>
          <w:sz w:val="32"/>
          <w:szCs w:val="32"/>
        </w:rPr>
      </w:pPr>
      <w:bookmarkStart w:id="62" w:name="_Toc524971139"/>
      <w:bookmarkStart w:id="63" w:name="_Toc17284152"/>
      <w:bookmarkStart w:id="64" w:name="_Toc19700272"/>
      <w:r w:rsidRPr="003974F1">
        <w:rPr>
          <w:rFonts w:ascii="VIC" w:eastAsia="Times New Roman" w:hAnsi="VIC" w:cs="Arial"/>
          <w:color w:val="595959" w:themeColor="text1" w:themeTint="A6"/>
          <w:sz w:val="20"/>
          <w:szCs w:val="20"/>
          <w:lang w:eastAsia="en-AU"/>
        </w:rPr>
        <w:t xml:space="preserve">Under section 20(1) of the </w:t>
      </w:r>
      <w:r w:rsidRPr="003974F1">
        <w:rPr>
          <w:rFonts w:ascii="VIC" w:eastAsia="Times New Roman" w:hAnsi="VIC" w:cs="Arial"/>
          <w:i/>
          <w:iCs/>
          <w:color w:val="595959" w:themeColor="text1" w:themeTint="A6"/>
          <w:sz w:val="20"/>
          <w:szCs w:val="20"/>
          <w:lang w:eastAsia="en-AU"/>
        </w:rPr>
        <w:t>Public Administration Act 2004</w:t>
      </w:r>
      <w:r w:rsidRPr="003974F1">
        <w:rPr>
          <w:rFonts w:ascii="VIC" w:eastAsia="Times New Roman" w:hAnsi="VIC" w:cs="Arial"/>
          <w:color w:val="595959" w:themeColor="text1" w:themeTint="A6"/>
          <w:sz w:val="20"/>
          <w:szCs w:val="20"/>
          <w:lang w:eastAsia="en-AU"/>
        </w:rPr>
        <w:t xml:space="preserve">, the public service body head has all the rights, powers, authorities and duties of an Employer, which will usually be delegated to staff within their department or agency under section 18 of the </w:t>
      </w:r>
      <w:r w:rsidRPr="003974F1">
        <w:rPr>
          <w:rFonts w:ascii="VIC" w:eastAsia="Times New Roman" w:hAnsi="VIC" w:cs="Arial"/>
          <w:i/>
          <w:iCs/>
          <w:color w:val="595959" w:themeColor="text1" w:themeTint="A6"/>
          <w:sz w:val="20"/>
          <w:szCs w:val="20"/>
          <w:lang w:eastAsia="en-AU"/>
        </w:rPr>
        <w:t>Public Administration Act 2004</w:t>
      </w:r>
      <w:r w:rsidRPr="003974F1">
        <w:rPr>
          <w:rFonts w:ascii="VIC" w:eastAsia="Times New Roman" w:hAnsi="VIC" w:cs="Arial"/>
          <w:color w:val="595959" w:themeColor="text1" w:themeTint="A6"/>
          <w:sz w:val="20"/>
          <w:szCs w:val="20"/>
          <w:lang w:eastAsia="en-AU"/>
        </w:rPr>
        <w:t>. Managers should ensure that any actions under this policy are only taken by an Employee with the delegation to do so.</w:t>
      </w:r>
      <w:bookmarkStart w:id="65" w:name="_GoBack"/>
      <w:bookmarkEnd w:id="65"/>
      <w:r w:rsidR="00B64C2E">
        <w:br w:type="page"/>
      </w:r>
    </w:p>
    <w:p w14:paraId="48031D35" w14:textId="42A7FFC0" w:rsidR="007468F6" w:rsidRDefault="007468F6" w:rsidP="007468F6">
      <w:pPr>
        <w:pStyle w:val="TCPHeading2"/>
      </w:pPr>
      <w:bookmarkStart w:id="66" w:name="_Toc19713477"/>
      <w:r>
        <w:lastRenderedPageBreak/>
        <w:t>Dispute resolution</w:t>
      </w:r>
      <w:bookmarkEnd w:id="62"/>
      <w:bookmarkEnd w:id="63"/>
      <w:bookmarkEnd w:id="64"/>
      <w:bookmarkEnd w:id="66"/>
    </w:p>
    <w:p w14:paraId="11CADE49" w14:textId="77777777" w:rsidR="006E3BEC" w:rsidRDefault="006E3BEC" w:rsidP="006E3BEC">
      <w:pPr>
        <w:pStyle w:val="bodycopy"/>
        <w:spacing w:before="120"/>
        <w:jc w:val="both"/>
      </w:pPr>
      <w:r w:rsidRPr="009F0C01">
        <w:t xml:space="preserve">An </w:t>
      </w:r>
      <w:r>
        <w:t>Employee</w:t>
      </w:r>
      <w:r w:rsidRPr="009F0C01">
        <w:t xml:space="preserve"> who is directly affected by a decision made or action taken pursuant to clause </w:t>
      </w:r>
      <w:r>
        <w:t>19</w:t>
      </w:r>
      <w:r w:rsidRPr="009F0C01">
        <w:t xml:space="preserve"> </w:t>
      </w:r>
      <w:r>
        <w:t xml:space="preserve">of the VPS Agreement </w:t>
      </w:r>
      <w:r w:rsidRPr="009F0C01">
        <w:t xml:space="preserve">may seek to resolve a dispute through the dispute resolution procedure at clause 12 of the </w:t>
      </w:r>
      <w:r>
        <w:t xml:space="preserve">VPS </w:t>
      </w:r>
      <w:r w:rsidRPr="009F0C01">
        <w:t>Agreement</w:t>
      </w:r>
      <w:r>
        <w:t xml:space="preserve"> or</w:t>
      </w:r>
      <w:r w:rsidRPr="009F0C01">
        <w:t xml:space="preserve"> apply for a </w:t>
      </w:r>
      <w:r>
        <w:t>R</w:t>
      </w:r>
      <w:r w:rsidRPr="009F0C01">
        <w:t xml:space="preserve">eview of </w:t>
      </w:r>
      <w:r>
        <w:t>A</w:t>
      </w:r>
      <w:r w:rsidRPr="009F0C01">
        <w:t xml:space="preserve">ction under the </w:t>
      </w:r>
      <w:r>
        <w:t>R</w:t>
      </w:r>
      <w:r w:rsidRPr="009F0C01">
        <w:t xml:space="preserve">eview of </w:t>
      </w:r>
      <w:r>
        <w:t>A</w:t>
      </w:r>
      <w:r w:rsidRPr="009F0C01">
        <w:t xml:space="preserve">ction </w:t>
      </w:r>
      <w:r>
        <w:t xml:space="preserve">common </w:t>
      </w:r>
      <w:r w:rsidRPr="009F0C01">
        <w:t>policy</w:t>
      </w:r>
      <w:r>
        <w:t>.</w:t>
      </w:r>
      <w:r w:rsidRPr="009F0C01">
        <w:t xml:space="preserve">  </w:t>
      </w:r>
    </w:p>
    <w:p w14:paraId="2EBE5B28" w14:textId="77777777" w:rsidR="006E3BEC" w:rsidRDefault="006E3BEC" w:rsidP="006E3BEC">
      <w:pPr>
        <w:pStyle w:val="bodycopy"/>
        <w:spacing w:before="120"/>
        <w:jc w:val="both"/>
      </w:pPr>
      <w:r>
        <w:t xml:space="preserve">Attachment 4 of the IR Policies provides that departmental grievance processes are available and are to be managed expeditiously in relation to issues raised by surplus Employees. Where these are utilised, relevant timeframes continue to run unless there is a recommendation from the Fair Work Commission to the contrary. </w:t>
      </w:r>
    </w:p>
    <w:p w14:paraId="2D434CAA" w14:textId="6EB4F861" w:rsidR="002D2025" w:rsidRPr="009F1A0F" w:rsidRDefault="006E3BEC" w:rsidP="006E3BEC">
      <w:pPr>
        <w:pStyle w:val="bodycopy"/>
        <w:spacing w:before="120"/>
        <w:jc w:val="both"/>
      </w:pPr>
      <w:r>
        <w:t>Where a union covered by the VPS Agreement is representing an aggrieved Employee, the Union is to be provided with necessary information to allow it to be satisfied that the Employer is complying with Attachment 4 of the IR Policies.</w:t>
      </w:r>
      <w:r w:rsidR="002D2025">
        <w:t xml:space="preserve"> </w:t>
      </w:r>
    </w:p>
    <w:p w14:paraId="014A7204" w14:textId="1C5C8B83" w:rsidR="000643D3" w:rsidRPr="000643D3" w:rsidRDefault="000643D3" w:rsidP="000643D3">
      <w:pPr>
        <w:pStyle w:val="TCPHeading1"/>
      </w:pPr>
      <w:bookmarkStart w:id="67" w:name="_Toc17284153"/>
      <w:bookmarkStart w:id="68" w:name="_Toc19700273"/>
      <w:bookmarkStart w:id="69" w:name="_Toc19713478"/>
      <w:r w:rsidRPr="000643D3">
        <w:t>Further Information</w:t>
      </w:r>
      <w:bookmarkEnd w:id="67"/>
      <w:bookmarkEnd w:id="68"/>
      <w:bookmarkEnd w:id="69"/>
    </w:p>
    <w:p w14:paraId="63EA7F95" w14:textId="77777777" w:rsidR="006E3BEC" w:rsidRDefault="006E3BEC" w:rsidP="006E3BEC">
      <w:pPr>
        <w:pStyle w:val="bodycopy"/>
        <w:spacing w:before="120"/>
        <w:jc w:val="both"/>
      </w:pPr>
      <w:bookmarkStart w:id="70" w:name="_Toc17284154"/>
      <w:r>
        <w:t>For further information and advice please contact your local Human Resources or People and Culture Unit.</w:t>
      </w:r>
    </w:p>
    <w:p w14:paraId="399B1B76" w14:textId="77777777" w:rsidR="000643D3" w:rsidRPr="000643D3" w:rsidRDefault="000643D3" w:rsidP="000643D3">
      <w:pPr>
        <w:pStyle w:val="TCPHeading1"/>
      </w:pPr>
      <w:bookmarkStart w:id="71" w:name="_Toc19700274"/>
      <w:bookmarkStart w:id="72" w:name="_Toc19713479"/>
      <w:r w:rsidRPr="000643D3">
        <w:t>Related policies or documents</w:t>
      </w:r>
      <w:bookmarkEnd w:id="70"/>
      <w:bookmarkEnd w:id="71"/>
      <w:bookmarkEnd w:id="72"/>
    </w:p>
    <w:p w14:paraId="0E795A1B" w14:textId="5B829494" w:rsidR="000643D3" w:rsidRPr="000E143E" w:rsidRDefault="00EA1C14" w:rsidP="000E143E">
      <w:pPr>
        <w:pStyle w:val="bodycopy"/>
        <w:jc w:val="both"/>
        <w:rPr>
          <w:b/>
        </w:rPr>
      </w:pPr>
      <w:r w:rsidRPr="000E143E">
        <w:rPr>
          <w:b/>
        </w:rPr>
        <w:t>VPS Enterprise Agreement Common Policies</w:t>
      </w:r>
    </w:p>
    <w:p w14:paraId="66ADF0C0" w14:textId="03B3C2DE" w:rsidR="00335417" w:rsidRPr="00335417" w:rsidRDefault="00335417" w:rsidP="00335417">
      <w:pPr>
        <w:pStyle w:val="TCPBullet10"/>
        <w:numPr>
          <w:ilvl w:val="0"/>
          <w:numId w:val="6"/>
        </w:numPr>
        <w:spacing w:line="240" w:lineRule="auto"/>
        <w:ind w:left="454" w:hanging="454"/>
        <w:outlineLvl w:val="4"/>
        <w:rPr>
          <w:rFonts w:ascii="VIC" w:eastAsia="Calibri" w:hAnsi="VIC" w:cs="Times New Roman"/>
          <w:color w:val="53565A"/>
          <w:sz w:val="20"/>
        </w:rPr>
      </w:pPr>
      <w:r>
        <w:rPr>
          <w:rFonts w:ascii="VIC" w:eastAsia="Calibri" w:hAnsi="VIC" w:cs="Times New Roman"/>
          <w:color w:val="53565A"/>
          <w:sz w:val="20"/>
        </w:rPr>
        <w:t>Review of Actions</w:t>
      </w:r>
    </w:p>
    <w:p w14:paraId="72B53D2E" w14:textId="29380F41" w:rsidR="00CC35CC" w:rsidRDefault="00EA1C14" w:rsidP="00335417">
      <w:pPr>
        <w:pStyle w:val="bodycopy"/>
        <w:spacing w:before="120"/>
        <w:jc w:val="both"/>
        <w:rPr>
          <w:rStyle w:val="Hyperlink"/>
        </w:rPr>
      </w:pPr>
      <w:r w:rsidRPr="000E143E">
        <w:t xml:space="preserve">All policies in the VPS Enterprise Agreement Common Policies collection, can be found at </w:t>
      </w:r>
      <w:hyperlink r:id="rId9" w:history="1">
        <w:r w:rsidR="00CC35CC" w:rsidRPr="00751147">
          <w:rPr>
            <w:rStyle w:val="Hyperlink"/>
          </w:rPr>
          <w:t>https://vpsc.vic.gov.au/vps-enterprise-agreement-common-policies/</w:t>
        </w:r>
      </w:hyperlink>
    </w:p>
    <w:p w14:paraId="7A38D14E" w14:textId="7F7FA14B" w:rsidR="001C2A90" w:rsidRDefault="001C2A90" w:rsidP="000E143E">
      <w:pPr>
        <w:pStyle w:val="bodycopy"/>
        <w:jc w:val="both"/>
        <w:rPr>
          <w:rStyle w:val="Hyperlink"/>
        </w:rPr>
      </w:pPr>
      <w:r>
        <w:t>Victorian Government’s Industrial Relations Policy 2015</w:t>
      </w:r>
    </w:p>
    <w:p w14:paraId="76813919" w14:textId="2970AD1E" w:rsidR="001C2A90" w:rsidRDefault="006B7B05" w:rsidP="000E143E">
      <w:pPr>
        <w:pStyle w:val="bodycopy"/>
        <w:jc w:val="both"/>
        <w:rPr>
          <w:rStyle w:val="Hyperlink"/>
        </w:rPr>
      </w:pPr>
      <w:hyperlink r:id="rId10" w:history="1">
        <w:r w:rsidR="001C2A90" w:rsidRPr="001B4414">
          <w:rPr>
            <w:rStyle w:val="Hyperlink"/>
          </w:rPr>
          <w:t>https://economicdevelopment.vic.gov.au/__data/assets/pdf_file/0018/1355310/IR_Public_Sector_Industrial_Relations_Policies_2015.pdf</w:t>
        </w:r>
      </w:hyperlink>
    </w:p>
    <w:p w14:paraId="62AE2AEB" w14:textId="3981666C" w:rsidR="00335417" w:rsidRPr="00335417" w:rsidRDefault="00335417" w:rsidP="00335417">
      <w:pPr>
        <w:pStyle w:val="bodycopy"/>
        <w:spacing w:before="120"/>
        <w:jc w:val="both"/>
        <w:rPr>
          <w:rStyle w:val="Hyperlink"/>
          <w:color w:val="53565A"/>
          <w:u w:val="none"/>
        </w:rPr>
      </w:pPr>
      <w:r>
        <w:t>Employers and Employees should also consult the Employer’s Recruitment and Selection Guidelines (however described) and related policies. Please contact your Department or Agencies People and Culture or Human Resources Unit (however described) for further information.</w:t>
      </w:r>
    </w:p>
    <w:sectPr w:rsidR="00335417" w:rsidRPr="00335417" w:rsidSect="00872EE6">
      <w:headerReference w:type="default"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DD759" w14:textId="77777777" w:rsidR="006B7B05" w:rsidRDefault="006B7B05" w:rsidP="006E4752">
      <w:pPr>
        <w:spacing w:after="0"/>
      </w:pPr>
      <w:r>
        <w:separator/>
      </w:r>
    </w:p>
  </w:endnote>
  <w:endnote w:type="continuationSeparator" w:id="0">
    <w:p w14:paraId="1EEE4413" w14:textId="77777777" w:rsidR="006B7B05" w:rsidRDefault="006B7B05" w:rsidP="006E47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SemiBold">
    <w:panose1 w:val="00000700000000000000"/>
    <w:charset w:val="00"/>
    <w:family w:val="modern"/>
    <w:notTrueType/>
    <w:pitch w:val="variable"/>
    <w:sig w:usb0="00000007" w:usb1="00000000" w:usb2="00000000" w:usb3="00000000" w:csb0="00000093" w:csb1="00000000"/>
  </w:font>
  <w:font w:name="VIC">
    <w:panose1 w:val="000005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002F" w14:textId="66A8F2EE" w:rsidR="008D3181" w:rsidRPr="00362844" w:rsidRDefault="00CC35CC" w:rsidP="00E8514A">
    <w:pPr>
      <w:pStyle w:val="TCPFooter"/>
      <w:tabs>
        <w:tab w:val="left" w:pos="8505"/>
      </w:tabs>
      <w:rPr>
        <w:rFonts w:ascii="VIC" w:hAnsi="VIC" w:cstheme="minorHAnsi"/>
        <w:szCs w:val="16"/>
      </w:rPr>
    </w:pPr>
    <w:r w:rsidRPr="00362844">
      <w:rPr>
        <w:rFonts w:ascii="VIC" w:hAnsi="VIC"/>
      </w:rPr>
      <w:t xml:space="preserve"> </w:t>
    </w:r>
    <w:r w:rsidR="001C2A90" w:rsidRPr="00362844">
      <w:rPr>
        <w:rFonts w:ascii="VIC" w:hAnsi="VIC"/>
      </w:rPr>
      <w:t>Redeployment</w:t>
    </w:r>
    <w:r w:rsidRPr="00362844">
      <w:rPr>
        <w:rFonts w:ascii="VIC" w:hAnsi="VIC"/>
      </w:rPr>
      <w:t xml:space="preserve"> </w:t>
    </w:r>
    <w:r w:rsidR="00E8514A" w:rsidRPr="00362844">
      <w:rPr>
        <w:rFonts w:ascii="VIC" w:hAnsi="VIC" w:cstheme="minorHAnsi"/>
      </w:rPr>
      <w:t>I</w:t>
    </w:r>
    <w:r w:rsidR="00335417" w:rsidRPr="00362844">
      <w:rPr>
        <w:rFonts w:ascii="VIC" w:hAnsi="VIC" w:cstheme="minorHAnsi"/>
      </w:rPr>
      <w:t xml:space="preserve"> Version </w:t>
    </w:r>
    <w:r w:rsidR="000C10A7" w:rsidRPr="00362844">
      <w:rPr>
        <w:rFonts w:ascii="VIC" w:hAnsi="VIC" w:cstheme="minorHAnsi"/>
      </w:rPr>
      <w:t>1.1</w:t>
    </w:r>
    <w:r w:rsidR="00335417" w:rsidRPr="00362844">
      <w:rPr>
        <w:rFonts w:ascii="VIC" w:hAnsi="VIC" w:cstheme="minorHAnsi"/>
      </w:rPr>
      <w:t xml:space="preserve"> |</w:t>
    </w:r>
    <w:r w:rsidR="00E8514A" w:rsidRPr="00362844">
      <w:rPr>
        <w:rFonts w:ascii="VIC" w:hAnsi="VIC" w:cstheme="minorHAnsi"/>
      </w:rPr>
      <w:t xml:space="preserve"> </w:t>
    </w:r>
    <w:r w:rsidR="00E8514A" w:rsidRPr="00362844">
      <w:rPr>
        <w:rFonts w:ascii="VIC" w:hAnsi="VIC" w:cstheme="minorHAnsi"/>
      </w:rPr>
      <w:fldChar w:fldCharType="begin"/>
    </w:r>
    <w:r w:rsidR="00E8514A" w:rsidRPr="00362844">
      <w:rPr>
        <w:rFonts w:ascii="VIC" w:hAnsi="VIC" w:cstheme="minorHAnsi"/>
      </w:rPr>
      <w:instrText xml:space="preserve"> DATE  \@ "MMMM yyyy"  \* MERGEFORMAT </w:instrText>
    </w:r>
    <w:r w:rsidR="00E8514A" w:rsidRPr="00362844">
      <w:rPr>
        <w:rFonts w:ascii="VIC" w:hAnsi="VIC" w:cstheme="minorHAnsi"/>
      </w:rPr>
      <w:fldChar w:fldCharType="separate"/>
    </w:r>
    <w:r w:rsidR="003974F1">
      <w:rPr>
        <w:rFonts w:ascii="VIC" w:hAnsi="VIC" w:cstheme="minorHAnsi"/>
        <w:noProof/>
      </w:rPr>
      <w:t>October 2019</w:t>
    </w:r>
    <w:r w:rsidR="00E8514A" w:rsidRPr="00362844">
      <w:rPr>
        <w:rFonts w:ascii="VIC" w:hAnsi="VIC" w:cstheme="minorHAnsi"/>
      </w:rPr>
      <w:fldChar w:fldCharType="end"/>
    </w:r>
    <w:r w:rsidR="00E8514A" w:rsidRPr="00362844">
      <w:rPr>
        <w:rFonts w:ascii="VIC" w:hAnsi="VIC" w:cstheme="minorHAnsi"/>
      </w:rPr>
      <w:tab/>
    </w:r>
    <w:r w:rsidR="008D3181" w:rsidRPr="00362844">
      <w:rPr>
        <w:rFonts w:ascii="VIC" w:hAnsi="VIC" w:cstheme="minorHAnsi"/>
        <w:sz w:val="24"/>
        <w:szCs w:val="24"/>
      </w:rPr>
      <w:fldChar w:fldCharType="begin"/>
    </w:r>
    <w:r w:rsidR="008D3181" w:rsidRPr="00362844">
      <w:rPr>
        <w:rFonts w:ascii="VIC" w:hAnsi="VIC" w:cstheme="minorHAnsi"/>
      </w:rPr>
      <w:instrText xml:space="preserve"> PAGE </w:instrText>
    </w:r>
    <w:r w:rsidR="008D3181" w:rsidRPr="00362844">
      <w:rPr>
        <w:rFonts w:ascii="VIC" w:hAnsi="VIC" w:cstheme="minorHAnsi"/>
        <w:sz w:val="24"/>
        <w:szCs w:val="24"/>
      </w:rPr>
      <w:fldChar w:fldCharType="separate"/>
    </w:r>
    <w:r w:rsidR="00264F87" w:rsidRPr="00362844">
      <w:rPr>
        <w:rFonts w:ascii="VIC" w:hAnsi="VIC" w:cstheme="minorHAnsi"/>
        <w:noProof/>
      </w:rPr>
      <w:t>4</w:t>
    </w:r>
    <w:r w:rsidR="008D3181" w:rsidRPr="00362844">
      <w:rPr>
        <w:rFonts w:ascii="VIC" w:hAnsi="VIC" w:cstheme="minorHAnsi"/>
        <w:sz w:val="24"/>
        <w:szCs w:val="24"/>
      </w:rPr>
      <w:fldChar w:fldCharType="end"/>
    </w:r>
    <w:r w:rsidR="008D3181" w:rsidRPr="00362844">
      <w:rPr>
        <w:rFonts w:ascii="VIC" w:hAnsi="VIC" w:cstheme="minorHAnsi"/>
      </w:rPr>
      <w:t xml:space="preserve"> of </w:t>
    </w:r>
    <w:r w:rsidR="00264F87" w:rsidRPr="00362844">
      <w:rPr>
        <w:rFonts w:ascii="VIC" w:hAnsi="VIC" w:cstheme="minorHAnsi"/>
      </w:rPr>
      <w:fldChar w:fldCharType="begin"/>
    </w:r>
    <w:r w:rsidR="00264F87" w:rsidRPr="00362844">
      <w:rPr>
        <w:rFonts w:ascii="VIC" w:hAnsi="VIC" w:cstheme="minorHAnsi"/>
      </w:rPr>
      <w:instrText xml:space="preserve"> NUMPAGES  </w:instrText>
    </w:r>
    <w:r w:rsidR="00264F87" w:rsidRPr="00362844">
      <w:rPr>
        <w:rFonts w:ascii="VIC" w:hAnsi="VIC" w:cstheme="minorHAnsi"/>
      </w:rPr>
      <w:fldChar w:fldCharType="separate"/>
    </w:r>
    <w:r w:rsidR="00264F87" w:rsidRPr="00362844">
      <w:rPr>
        <w:rFonts w:ascii="VIC" w:hAnsi="VIC" w:cstheme="minorHAnsi"/>
        <w:noProof/>
      </w:rPr>
      <w:t>4</w:t>
    </w:r>
    <w:r w:rsidR="00264F87" w:rsidRPr="00362844">
      <w:rPr>
        <w:rFonts w:ascii="VIC" w:hAnsi="VIC"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5AE6" w14:textId="26AB0B4A" w:rsidR="00ED408D" w:rsidRDefault="00ED408D" w:rsidP="00ED408D">
    <w:pPr>
      <w:pBdr>
        <w:bottom w:val="single" w:sz="8" w:space="1" w:color="auto"/>
      </w:pBdr>
      <w:tabs>
        <w:tab w:val="right" w:pos="9070"/>
      </w:tabs>
      <w:rPr>
        <w:b/>
        <w:sz w:val="16"/>
        <w:szCs w:val="16"/>
      </w:rPr>
    </w:pPr>
    <w:r>
      <w:rPr>
        <w:b/>
        <w:sz w:val="16"/>
        <w:szCs w:val="16"/>
      </w:rPr>
      <w:tab/>
    </w:r>
  </w:p>
  <w:p w14:paraId="06C00738" w14:textId="5029F8E0" w:rsidR="008D3181" w:rsidRPr="00335417" w:rsidRDefault="00ED408D" w:rsidP="00F80820">
    <w:pPr>
      <w:rPr>
        <w:rFonts w:ascii="VIC SemiBold" w:hAnsi="VIC SemiBold"/>
        <w:sz w:val="16"/>
        <w:szCs w:val="16"/>
      </w:rPr>
    </w:pPr>
    <w:r w:rsidRPr="00335417">
      <w:rPr>
        <w:rFonts w:ascii="VIC SemiBold" w:hAnsi="VIC SemiBold"/>
        <w:sz w:val="16"/>
        <w:szCs w:val="16"/>
      </w:rPr>
      <w:t>Authorised by Industrial Relations Victoria</w:t>
    </w:r>
  </w:p>
  <w:p w14:paraId="0FE1B328" w14:textId="03E97382" w:rsidR="008D3181" w:rsidRPr="00335417" w:rsidRDefault="00ED408D" w:rsidP="00F80820">
    <w:pPr>
      <w:rPr>
        <w:rFonts w:ascii="VIC" w:hAnsi="VIC"/>
        <w:sz w:val="16"/>
        <w:szCs w:val="16"/>
      </w:rPr>
    </w:pPr>
    <w:r w:rsidRPr="00335417">
      <w:rPr>
        <w:rFonts w:ascii="VIC" w:hAnsi="VIC"/>
        <w:sz w:val="16"/>
        <w:szCs w:val="16"/>
      </w:rPr>
      <w:t xml:space="preserve">Department of </w:t>
    </w:r>
    <w:r w:rsidR="00B331F7" w:rsidRPr="00335417">
      <w:rPr>
        <w:rFonts w:ascii="VIC" w:hAnsi="VIC"/>
        <w:sz w:val="16"/>
        <w:szCs w:val="16"/>
      </w:rPr>
      <w:t>Premier and Cabinet</w:t>
    </w:r>
    <w:r w:rsidR="008D3181" w:rsidRPr="00335417">
      <w:rPr>
        <w:rFonts w:ascii="VIC" w:hAnsi="VIC"/>
        <w:sz w:val="16"/>
        <w:szCs w:val="16"/>
      </w:rPr>
      <w:br/>
    </w:r>
    <w:r w:rsidRPr="00335417">
      <w:rPr>
        <w:rFonts w:ascii="VIC" w:hAnsi="VIC"/>
        <w:sz w:val="16"/>
        <w:szCs w:val="16"/>
      </w:rPr>
      <w:t>1 Spring Street Melbourne Victoria 3000</w:t>
    </w:r>
    <w:r w:rsidR="008D3181" w:rsidRPr="00335417">
      <w:rPr>
        <w:rFonts w:ascii="VIC" w:hAnsi="VIC"/>
        <w:sz w:val="16"/>
        <w:szCs w:val="16"/>
      </w:rPr>
      <w:br/>
    </w:r>
    <w:r w:rsidRPr="00335417">
      <w:rPr>
        <w:rFonts w:ascii="VIC" w:hAnsi="VIC"/>
        <w:sz w:val="16"/>
        <w:szCs w:val="16"/>
      </w:rPr>
      <w:t>Telephone (03) 9651 9999</w:t>
    </w:r>
  </w:p>
  <w:p w14:paraId="60A2C7C4" w14:textId="3AE3A47F" w:rsidR="008D3181" w:rsidRPr="00335417" w:rsidRDefault="008D3181" w:rsidP="00F80820">
    <w:pPr>
      <w:keepNext/>
      <w:keepLines/>
      <w:ind w:right="1701"/>
      <w:rPr>
        <w:rFonts w:ascii="VIC SemiBold" w:hAnsi="VIC SemiBold"/>
        <w:sz w:val="16"/>
        <w:szCs w:val="16"/>
      </w:rPr>
    </w:pPr>
    <w:r w:rsidRPr="00335417">
      <w:rPr>
        <w:rFonts w:ascii="VIC SemiBold" w:hAnsi="VIC SemiBold"/>
        <w:sz w:val="16"/>
        <w:szCs w:val="16"/>
      </w:rPr>
      <w:t xml:space="preserve">© </w:t>
    </w:r>
    <w:r w:rsidR="00ED408D" w:rsidRPr="00335417">
      <w:rPr>
        <w:rFonts w:ascii="VIC SemiBold" w:hAnsi="VIC SemiBold"/>
        <w:sz w:val="16"/>
        <w:szCs w:val="16"/>
      </w:rPr>
      <w:t>Copyright State of Victoria, 201</w:t>
    </w:r>
    <w:r w:rsidR="007E1048" w:rsidRPr="00335417">
      <w:rPr>
        <w:rFonts w:ascii="VIC SemiBold" w:hAnsi="VIC SemiBold"/>
        <w:sz w:val="16"/>
        <w:szCs w:val="16"/>
      </w:rPr>
      <w:t>9</w:t>
    </w:r>
  </w:p>
  <w:p w14:paraId="5FD699EB" w14:textId="77777777" w:rsidR="008D3181" w:rsidRPr="00335417" w:rsidRDefault="00ED408D" w:rsidP="00F80820">
    <w:pPr>
      <w:ind w:right="1701"/>
      <w:rPr>
        <w:rFonts w:ascii="VIC" w:hAnsi="VIC"/>
        <w:sz w:val="16"/>
        <w:szCs w:val="16"/>
      </w:rPr>
    </w:pPr>
    <w:r w:rsidRPr="00335417">
      <w:rPr>
        <w:rFonts w:ascii="VIC" w:hAnsi="VIC"/>
        <w:sz w:val="16"/>
        <w:szCs w:val="16"/>
      </w:rPr>
      <w:t xml:space="preserve">If you print and store this document, you may be looking at an obsolete version. </w:t>
    </w:r>
    <w:r w:rsidRPr="00335417">
      <w:rPr>
        <w:rFonts w:ascii="VIC" w:hAnsi="VIC"/>
        <w:sz w:val="16"/>
        <w:szCs w:val="16"/>
      </w:rPr>
      <w:br/>
      <w:t>Always check the latest version of this document at</w:t>
    </w:r>
    <w:r w:rsidR="008D3181" w:rsidRPr="00335417">
      <w:rPr>
        <w:rFonts w:ascii="VIC" w:hAnsi="VIC"/>
        <w:sz w:val="16"/>
        <w:szCs w:val="16"/>
      </w:rPr>
      <w:t xml:space="preserve"> </w:t>
    </w:r>
    <w:r w:rsidRPr="00335417">
      <w:rPr>
        <w:rFonts w:ascii="VIC" w:hAnsi="VIC"/>
        <w:sz w:val="16"/>
        <w:szCs w:val="16"/>
      </w:rPr>
      <w:br/>
    </w:r>
    <w:hyperlink r:id="rId1" w:history="1">
      <w:r w:rsidRPr="00335417">
        <w:rPr>
          <w:rStyle w:val="Hyperlink"/>
          <w:rFonts w:ascii="VIC" w:hAnsi="VIC"/>
          <w:sz w:val="16"/>
          <w:szCs w:val="16"/>
        </w:rPr>
        <w:t>https://vpsc.vic.gov.au/vps-enterprise-agreement-common-policies/</w:t>
      </w:r>
    </w:hyperlink>
  </w:p>
  <w:p w14:paraId="7B5900F6" w14:textId="40DF08E6" w:rsidR="008B7279" w:rsidRPr="00335417" w:rsidRDefault="001C2A90" w:rsidP="00095806">
    <w:pPr>
      <w:pStyle w:val="TCPFooter"/>
      <w:rPr>
        <w:rFonts w:ascii="VIC" w:hAnsi="VIC"/>
      </w:rPr>
    </w:pPr>
    <w:r w:rsidRPr="00335417">
      <w:rPr>
        <w:rFonts w:ascii="VIC" w:hAnsi="VIC"/>
      </w:rPr>
      <w:t>Redeployment</w:t>
    </w:r>
    <w:r w:rsidR="00D5323B" w:rsidRPr="00335417">
      <w:rPr>
        <w:rFonts w:ascii="VIC" w:hAnsi="VIC"/>
      </w:rPr>
      <w:t xml:space="preserve"> </w:t>
    </w:r>
    <w:r w:rsidR="00095806" w:rsidRPr="00335417">
      <w:rPr>
        <w:rFonts w:ascii="VIC" w:hAnsi="VIC"/>
      </w:rPr>
      <w:t>I</w:t>
    </w:r>
    <w:r w:rsidR="00353372">
      <w:rPr>
        <w:rFonts w:ascii="VIC" w:hAnsi="VIC"/>
      </w:rPr>
      <w:t xml:space="preserve"> Version </w:t>
    </w:r>
    <w:r w:rsidR="000C10A7">
      <w:rPr>
        <w:rFonts w:ascii="VIC" w:hAnsi="VIC"/>
      </w:rPr>
      <w:t>1.1</w:t>
    </w:r>
    <w:r w:rsidR="00353372">
      <w:rPr>
        <w:rFonts w:ascii="VIC" w:hAnsi="VIC"/>
      </w:rPr>
      <w:t xml:space="preserve"> |</w:t>
    </w:r>
    <w:r w:rsidR="00095806" w:rsidRPr="00335417">
      <w:rPr>
        <w:rFonts w:ascii="VIC" w:hAnsi="VIC"/>
      </w:rPr>
      <w:t xml:space="preserve"> </w:t>
    </w:r>
    <w:r w:rsidR="00373A3A" w:rsidRPr="00335417">
      <w:rPr>
        <w:rFonts w:ascii="VIC" w:hAnsi="VIC"/>
      </w:rPr>
      <w:fldChar w:fldCharType="begin"/>
    </w:r>
    <w:r w:rsidR="00373A3A" w:rsidRPr="00335417">
      <w:rPr>
        <w:rFonts w:ascii="VIC" w:hAnsi="VIC"/>
      </w:rPr>
      <w:instrText xml:space="preserve"> DATE  \@ "MMMM yyyy"  \* MERGEFORMAT </w:instrText>
    </w:r>
    <w:r w:rsidR="00373A3A" w:rsidRPr="00335417">
      <w:rPr>
        <w:rFonts w:ascii="VIC" w:hAnsi="VIC"/>
      </w:rPr>
      <w:fldChar w:fldCharType="separate"/>
    </w:r>
    <w:r w:rsidR="003974F1">
      <w:rPr>
        <w:rFonts w:ascii="VIC" w:hAnsi="VIC"/>
        <w:noProof/>
      </w:rPr>
      <w:t>October 2019</w:t>
    </w:r>
    <w:r w:rsidR="00373A3A" w:rsidRPr="00335417">
      <w:rPr>
        <w:rFonts w:ascii="VIC" w:hAnsi="VIC"/>
      </w:rPr>
      <w:fldChar w:fldCharType="end"/>
    </w:r>
  </w:p>
  <w:p w14:paraId="7105FAC0" w14:textId="77777777" w:rsidR="008B7279" w:rsidRDefault="008B7279" w:rsidP="00095806">
    <w:pPr>
      <w:pStyle w:val="TCPFooter"/>
    </w:pPr>
  </w:p>
  <w:p w14:paraId="46DBC5E8" w14:textId="2086DE2C" w:rsidR="00095806" w:rsidRPr="00F80820" w:rsidRDefault="008B7279" w:rsidP="00095806">
    <w:pPr>
      <w:pStyle w:val="TCPFooter"/>
      <w:rPr>
        <w:szCs w:val="16"/>
      </w:rPr>
    </w:pPr>
    <w:r w:rsidRPr="00F80820">
      <w:rPr>
        <w:b/>
        <w:noProof/>
        <w:szCs w:val="16"/>
        <w:lang w:eastAsia="en-AU"/>
      </w:rPr>
      <w:drawing>
        <wp:inline distT="0" distB="0" distL="0" distR="0" wp14:anchorId="3E3A2B0B" wp14:editId="58920A3B">
          <wp:extent cx="1007745" cy="574675"/>
          <wp:effectExtent l="0" t="0" r="1905" b="0"/>
          <wp:docPr id="7" name="Picture 4" descr="Victorian State Government logo" title="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574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400FE" w14:textId="77777777" w:rsidR="006B7B05" w:rsidRDefault="006B7B05" w:rsidP="006E4752">
      <w:pPr>
        <w:spacing w:after="0"/>
      </w:pPr>
      <w:bookmarkStart w:id="0" w:name="_Hlk17293383"/>
      <w:bookmarkEnd w:id="0"/>
      <w:r>
        <w:separator/>
      </w:r>
    </w:p>
  </w:footnote>
  <w:footnote w:type="continuationSeparator" w:id="0">
    <w:p w14:paraId="65DB3FDD" w14:textId="77777777" w:rsidR="006B7B05" w:rsidRDefault="006B7B05" w:rsidP="006E47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1AC8B" w14:textId="77777777" w:rsidR="008B7279" w:rsidRPr="00CE14DB" w:rsidRDefault="008B7279" w:rsidP="008B7279">
    <w:pPr>
      <w:pStyle w:val="Header"/>
    </w:pPr>
    <w:r>
      <w:rPr>
        <w:noProof/>
        <w:lang w:eastAsia="en-AU"/>
      </w:rPr>
      <mc:AlternateContent>
        <mc:Choice Requires="wps">
          <w:drawing>
            <wp:inline distT="0" distB="0" distL="0" distR="0" wp14:anchorId="49150E29" wp14:editId="47CD278A">
              <wp:extent cx="5759450" cy="0"/>
              <wp:effectExtent l="0" t="38100" r="50800" b="38100"/>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76200" cap="flat" cmpd="sng" algn="ctr">
                        <a:solidFill>
                          <a:srgbClr val="004C97"/>
                        </a:solidFill>
                        <a:prstDash val="solid"/>
                      </a:ln>
                      <a:effectLst/>
                    </wps:spPr>
                    <wps:bodyPr/>
                  </wps:wsp>
                </a:graphicData>
              </a:graphic>
            </wp:inline>
          </w:drawing>
        </mc:Choice>
        <mc:Fallback>
          <w:pict>
            <v:line w14:anchorId="0088F2F6"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" strokecolor="#004c97" strokeweight="6pt">
              <o:lock v:ext="edit" shapetype="f"/>
              <w10:anchorlock/>
            </v:line>
          </w:pict>
        </mc:Fallback>
      </mc:AlternateContent>
    </w:r>
  </w:p>
  <w:p w14:paraId="7A869535" w14:textId="7EF8C104" w:rsidR="008D3181" w:rsidRPr="008B7279" w:rsidRDefault="008D3181" w:rsidP="008B7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E7AAE" w14:textId="77777777" w:rsidR="008B7279" w:rsidRPr="00CE14DB" w:rsidRDefault="008B7279" w:rsidP="008B7279">
    <w:pPr>
      <w:pStyle w:val="Header"/>
    </w:pPr>
    <w:r>
      <w:rPr>
        <w:noProof/>
        <w:lang w:eastAsia="en-AU"/>
      </w:rPr>
      <mc:AlternateContent>
        <mc:Choice Requires="wps">
          <w:drawing>
            <wp:inline distT="0" distB="0" distL="0" distR="0" wp14:anchorId="7FB5269F" wp14:editId="6397918E">
              <wp:extent cx="5759450" cy="0"/>
              <wp:effectExtent l="0" t="38100" r="50800" b="38100"/>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76200" cap="flat" cmpd="sng" algn="ctr">
                        <a:solidFill>
                          <a:srgbClr val="004C97"/>
                        </a:solidFill>
                        <a:prstDash val="solid"/>
                      </a:ln>
                      <a:effectLst/>
                    </wps:spPr>
                    <wps:bodyPr/>
                  </wps:wsp>
                </a:graphicData>
              </a:graphic>
            </wp:inline>
          </w:drawing>
        </mc:Choice>
        <mc:Fallback>
          <w:pict>
            <v:line w14:anchorId="5CACEA24"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" strokecolor="#004c97" strokeweight="6pt">
              <o:lock v:ext="edit" shapetype="f"/>
              <w10:anchorlock/>
            </v:line>
          </w:pict>
        </mc:Fallback>
      </mc:AlternateContent>
    </w:r>
  </w:p>
  <w:p w14:paraId="2D5DBDFB" w14:textId="1D824E31" w:rsidR="008D3181" w:rsidRPr="008B7279" w:rsidRDefault="008D3181" w:rsidP="008B7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AD4"/>
    <w:multiLevelType w:val="hybridMultilevel"/>
    <w:tmpl w:val="597A15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5A4C9164">
      <w:start w:val="1"/>
      <w:numFmt w:val="bullet"/>
      <w:pStyle w:val="TCPBullet4"/>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84273"/>
    <w:multiLevelType w:val="multilevel"/>
    <w:tmpl w:val="C044932A"/>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2" w15:restartNumberingAfterBreak="0">
    <w:nsid w:val="061D2EE3"/>
    <w:multiLevelType w:val="hybridMultilevel"/>
    <w:tmpl w:val="AFF867A8"/>
    <w:lvl w:ilvl="0" w:tplc="059A5A8E">
      <w:start w:val="1"/>
      <w:numFmt w:val="decimal"/>
      <w:pStyle w:val="TCPNH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D718B2"/>
    <w:multiLevelType w:val="hybridMultilevel"/>
    <w:tmpl w:val="FEC0C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EF5051E2">
      <w:start w:val="1"/>
      <w:numFmt w:val="bullet"/>
      <w:pStyle w:val="TCPBullet5"/>
      <w:lvlText w:val=""/>
      <w:lvlJc w:val="left"/>
      <w:pPr>
        <w:ind w:left="3600" w:hanging="360"/>
      </w:pPr>
      <w:rPr>
        <w:rFonts w:ascii="Wingdings" w:hAnsi="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F1BD1"/>
    <w:multiLevelType w:val="hybridMultilevel"/>
    <w:tmpl w:val="4FA844AE"/>
    <w:lvl w:ilvl="0" w:tplc="1AB2A8E6">
      <w:start w:val="1"/>
      <w:numFmt w:val="decimal"/>
      <w:pStyle w:val="TCPNH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AC69FA"/>
    <w:multiLevelType w:val="multilevel"/>
    <w:tmpl w:val="8F0EB3A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color w:val="595959" w:themeColor="text1" w:themeTint="A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B602E"/>
    <w:multiLevelType w:val="multilevel"/>
    <w:tmpl w:val="3ACC1A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DC291C"/>
    <w:multiLevelType w:val="hybridMultilevel"/>
    <w:tmpl w:val="925AF8F6"/>
    <w:lvl w:ilvl="0" w:tplc="FB6E5840">
      <w:start w:val="1"/>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F2169C1"/>
    <w:multiLevelType w:val="multilevel"/>
    <w:tmpl w:val="BE5A15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7"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D63424"/>
    <w:multiLevelType w:val="hybridMultilevel"/>
    <w:tmpl w:val="056C4148"/>
    <w:lvl w:ilvl="0" w:tplc="8C40F56E">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63C740B"/>
    <w:multiLevelType w:val="multilevel"/>
    <w:tmpl w:val="8ED4F896"/>
    <w:lvl w:ilvl="0">
      <w:start w:val="1"/>
      <w:numFmt w:val="decimal"/>
      <w:lvlText w:val="%1."/>
      <w:lvlJc w:val="left"/>
      <w:pPr>
        <w:ind w:left="360" w:hanging="360"/>
      </w:pPr>
    </w:lvl>
    <w:lvl w:ilvl="1">
      <w:start w:val="1"/>
      <w:numFmt w:val="decimal"/>
      <w:pStyle w:val="TCPNumber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2816E3"/>
    <w:multiLevelType w:val="multilevel"/>
    <w:tmpl w:val="B838E2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PNumber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B590C"/>
    <w:multiLevelType w:val="multilevel"/>
    <w:tmpl w:val="2A76700C"/>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A00147"/>
    <w:multiLevelType w:val="hybridMultilevel"/>
    <w:tmpl w:val="5DA2A7B6"/>
    <w:lvl w:ilvl="0" w:tplc="28D00D80">
      <w:start w:val="1"/>
      <w:numFmt w:val="bullet"/>
      <w:pStyle w:val="Bullet2VPSC"/>
      <w:lvlText w:val=""/>
      <w:lvlJc w:val="left"/>
      <w:pPr>
        <w:ind w:left="1074" w:hanging="360"/>
      </w:pPr>
      <w:rPr>
        <w:rFonts w:ascii="Symbol" w:hAnsi="Symbol" w:hint="default"/>
      </w:rPr>
    </w:lvl>
    <w:lvl w:ilvl="1" w:tplc="04090003">
      <w:start w:val="1"/>
      <w:numFmt w:val="bullet"/>
      <w:lvlText w:val="o"/>
      <w:lvlJc w:val="left"/>
      <w:pPr>
        <w:ind w:left="589" w:hanging="360"/>
      </w:pPr>
      <w:rPr>
        <w:rFonts w:ascii="Courier New" w:hAnsi="Courier New" w:hint="default"/>
      </w:rPr>
    </w:lvl>
    <w:lvl w:ilvl="2" w:tplc="537AD56C">
      <w:start w:val="1"/>
      <w:numFmt w:val="bullet"/>
      <w:lvlText w:val="o"/>
      <w:lvlJc w:val="left"/>
      <w:pPr>
        <w:ind w:left="1309" w:hanging="360"/>
      </w:pPr>
      <w:rPr>
        <w:rFonts w:ascii="Courier New" w:hAnsi="Courier New" w:cs="Courier New"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4" w15:restartNumberingAfterBreak="0">
    <w:nsid w:val="33D65963"/>
    <w:multiLevelType w:val="hybridMultilevel"/>
    <w:tmpl w:val="E3C8085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5" w15:restartNumberingAfterBreak="0">
    <w:nsid w:val="3A087206"/>
    <w:multiLevelType w:val="multilevel"/>
    <w:tmpl w:val="F2BCD788"/>
    <w:lvl w:ilvl="0">
      <w:start w:val="1"/>
      <w:numFmt w:val="decimal"/>
      <w:pStyle w:val="TCPNumbering1"/>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pStyle w:val="TCPNumbering30"/>
      <w:lvlText w:val="%1.%2.%3."/>
      <w:lvlJc w:val="left"/>
      <w:pPr>
        <w:ind w:left="1362" w:hanging="454"/>
      </w:pPr>
      <w:rPr>
        <w:rFonts w:hint="default"/>
      </w:rPr>
    </w:lvl>
    <w:lvl w:ilvl="3">
      <w:start w:val="1"/>
      <w:numFmt w:val="decimal"/>
      <w:pStyle w:val="TCPNumbering4"/>
      <w:lvlText w:val="%1.%2.%3.%4."/>
      <w:lvlJc w:val="left"/>
      <w:pPr>
        <w:ind w:left="1816" w:hanging="454"/>
      </w:pPr>
      <w:rPr>
        <w:rFonts w:hint="default"/>
      </w:rPr>
    </w:lvl>
    <w:lvl w:ilvl="4">
      <w:start w:val="1"/>
      <w:numFmt w:val="decimal"/>
      <w:pStyle w:val="TCPNumbering5"/>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6" w15:restartNumberingAfterBreak="0">
    <w:nsid w:val="3E1B53C8"/>
    <w:multiLevelType w:val="multilevel"/>
    <w:tmpl w:val="404CF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TCPNumbering50"/>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AF638D"/>
    <w:multiLevelType w:val="hybridMultilevel"/>
    <w:tmpl w:val="621E972C"/>
    <w:lvl w:ilvl="0" w:tplc="FB64F28A">
      <w:start w:val="1"/>
      <w:numFmt w:val="bullet"/>
      <w:pStyle w:val="TCP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B23A20"/>
    <w:multiLevelType w:val="hybridMultilevel"/>
    <w:tmpl w:val="287A4E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5812164"/>
    <w:multiLevelType w:val="hybridMultilevel"/>
    <w:tmpl w:val="E94CCC9A"/>
    <w:lvl w:ilvl="0" w:tplc="7448504E">
      <w:start w:val="1"/>
      <w:numFmt w:val="decimal"/>
      <w:lvlText w:val="%1."/>
      <w:lvlJc w:val="left"/>
      <w:pPr>
        <w:tabs>
          <w:tab w:val="num" w:pos="720"/>
        </w:tabs>
        <w:ind w:left="720" w:hanging="360"/>
      </w:pPr>
      <w:rPr>
        <w:rFonts w:hint="default"/>
        <w:b/>
      </w:rPr>
    </w:lvl>
    <w:lvl w:ilvl="1" w:tplc="0C090019">
      <w:start w:val="1"/>
      <w:numFmt w:val="lowerLetter"/>
      <w:lvlText w:val="%2."/>
      <w:lvlJc w:val="left"/>
      <w:pPr>
        <w:tabs>
          <w:tab w:val="num" w:pos="1440"/>
        </w:tabs>
        <w:ind w:left="1440" w:hanging="360"/>
      </w:pPr>
    </w:lvl>
    <w:lvl w:ilvl="2" w:tplc="B20A9960">
      <w:start w:val="1"/>
      <w:numFmt w:val="lowerLetter"/>
      <w:lvlText w:val="%3."/>
      <w:lvlJc w:val="left"/>
      <w:pPr>
        <w:tabs>
          <w:tab w:val="num" w:pos="2160"/>
        </w:tabs>
        <w:ind w:left="2160" w:hanging="180"/>
      </w:pPr>
      <w:rPr>
        <w:b w:val="0"/>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9AA42DD"/>
    <w:multiLevelType w:val="hybridMultilevel"/>
    <w:tmpl w:val="3AA42474"/>
    <w:lvl w:ilvl="0" w:tplc="310ADCC6">
      <w:start w:val="1"/>
      <w:numFmt w:val="lowerRoman"/>
      <w:lvlText w:val="(%1)"/>
      <w:lvlJc w:val="left"/>
      <w:pPr>
        <w:ind w:left="2160" w:hanging="720"/>
      </w:pPr>
      <w:rPr>
        <w:rFonts w:hint="default"/>
        <w:b/>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4A4876F7"/>
    <w:multiLevelType w:val="hybridMultilevel"/>
    <w:tmpl w:val="6DA24E3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2" w15:restartNumberingAfterBreak="0">
    <w:nsid w:val="4BBF2313"/>
    <w:multiLevelType w:val="hybridMultilevel"/>
    <w:tmpl w:val="63A4E644"/>
    <w:lvl w:ilvl="0" w:tplc="4CFA64FE">
      <w:start w:val="1"/>
      <w:numFmt w:val="decimal"/>
      <w:pStyle w:val="TCPNH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526C15"/>
    <w:multiLevelType w:val="multilevel"/>
    <w:tmpl w:val="413E50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CPNumbering4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BD4B01"/>
    <w:multiLevelType w:val="hybridMultilevel"/>
    <w:tmpl w:val="9BD25E34"/>
    <w:lvl w:ilvl="0" w:tplc="47E45918">
      <w:start w:val="1"/>
      <w:numFmt w:val="decimal"/>
      <w:pStyle w:val="TCPNH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805F97"/>
    <w:multiLevelType w:val="hybridMultilevel"/>
    <w:tmpl w:val="93942D2A"/>
    <w:lvl w:ilvl="0" w:tplc="12B4D60C">
      <w:start w:val="1"/>
      <w:numFmt w:val="decimal"/>
      <w:pStyle w:val="EBAnumberconten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834977"/>
    <w:multiLevelType w:val="multilevel"/>
    <w:tmpl w:val="44C47C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830EE4"/>
    <w:multiLevelType w:val="hybridMultilevel"/>
    <w:tmpl w:val="D070EC2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8" w15:restartNumberingAfterBreak="0">
    <w:nsid w:val="67503DEA"/>
    <w:multiLevelType w:val="hybridMultilevel"/>
    <w:tmpl w:val="6C5A57A2"/>
    <w:lvl w:ilvl="0" w:tplc="78E4260A">
      <w:start w:val="1"/>
      <w:numFmt w:val="lowerLetter"/>
      <w:lvlText w:val="(%1)"/>
      <w:lvlJc w:val="left"/>
      <w:pPr>
        <w:ind w:left="1080" w:hanging="360"/>
      </w:pPr>
      <w:rPr>
        <w:rFonts w:hint="default"/>
        <w: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D8963B4"/>
    <w:multiLevelType w:val="hybridMultilevel"/>
    <w:tmpl w:val="E4F8972A"/>
    <w:lvl w:ilvl="0" w:tplc="B564362E">
      <w:start w:val="1"/>
      <w:numFmt w:val="bullet"/>
      <w:lvlText w:val="−"/>
      <w:lvlJc w:val="left"/>
      <w:pPr>
        <w:ind w:left="720" w:hanging="360"/>
      </w:pPr>
      <w:rPr>
        <w:rFonts w:ascii="Arial" w:hAnsi="Arial" w:hint="default"/>
        <w:b w:val="0"/>
        <w:i w:val="0"/>
      </w:rPr>
    </w:lvl>
    <w:lvl w:ilvl="1" w:tplc="B08EABDA">
      <w:start w:val="1"/>
      <w:numFmt w:val="bullet"/>
      <w:pStyle w:val="TCPBullet2"/>
      <w:lvlText w:val="−"/>
      <w:lvlJc w:val="left"/>
      <w:pPr>
        <w:ind w:left="1440" w:hanging="360"/>
      </w:pPr>
      <w:rPr>
        <w:rFonts w:ascii="Arial" w:hAnsi="Arial" w:hint="default"/>
        <w:b w:val="0"/>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691515"/>
    <w:multiLevelType w:val="hybridMultilevel"/>
    <w:tmpl w:val="EE084C20"/>
    <w:lvl w:ilvl="0" w:tplc="8D94CB20">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79840A61"/>
    <w:multiLevelType w:val="hybridMultilevel"/>
    <w:tmpl w:val="A98AB338"/>
    <w:lvl w:ilvl="0" w:tplc="778C9B2E">
      <w:start w:val="1"/>
      <w:numFmt w:val="lowerLetter"/>
      <w:lvlText w:val="(%1)"/>
      <w:lvlJc w:val="left"/>
      <w:pPr>
        <w:ind w:left="1080" w:hanging="360"/>
      </w:pPr>
      <w:rPr>
        <w:rFonts w:hint="default"/>
        <w:b/>
      </w:rPr>
    </w:lvl>
    <w:lvl w:ilvl="1" w:tplc="08AAC5C6">
      <w:start w:val="1"/>
      <w:numFmt w:val="lowerRoman"/>
      <w:lvlText w:val="(%2)"/>
      <w:lvlJc w:val="left"/>
      <w:pPr>
        <w:ind w:left="2160" w:hanging="720"/>
      </w:pPr>
      <w:rPr>
        <w:rFonts w:hint="default"/>
        <w:b/>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3" w15:restartNumberingAfterBreak="0">
    <w:nsid w:val="7B623272"/>
    <w:multiLevelType w:val="hybridMultilevel"/>
    <w:tmpl w:val="4A0E8D82"/>
    <w:lvl w:ilvl="0" w:tplc="A15CF654">
      <w:start w:val="1"/>
      <w:numFmt w:val="bullet"/>
      <w:lvlText w:val="˃"/>
      <w:lvlJc w:val="left"/>
      <w:pPr>
        <w:ind w:left="720" w:hanging="36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2A44DF7C">
      <w:start w:val="1"/>
      <w:numFmt w:val="bullet"/>
      <w:pStyle w:val="TCPBullet3"/>
      <w:lvlText w:val="˃"/>
      <w:lvlJc w:val="left"/>
      <w:pPr>
        <w:ind w:left="2160" w:hanging="360"/>
      </w:pPr>
      <w:rPr>
        <w:rFonts w:ascii="Arial" w:hAnsi="Arial" w:hint="default"/>
        <w:b w:val="0"/>
        <w:i w:val="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E972FD"/>
    <w:multiLevelType w:val="hybridMultilevel"/>
    <w:tmpl w:val="485455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4"/>
  </w:num>
  <w:num w:numId="3">
    <w:abstractNumId w:val="2"/>
  </w:num>
  <w:num w:numId="4">
    <w:abstractNumId w:val="22"/>
  </w:num>
  <w:num w:numId="5">
    <w:abstractNumId w:val="15"/>
  </w:num>
  <w:num w:numId="6">
    <w:abstractNumId w:val="17"/>
  </w:num>
  <w:num w:numId="7">
    <w:abstractNumId w:val="29"/>
  </w:num>
  <w:num w:numId="8">
    <w:abstractNumId w:val="33"/>
  </w:num>
  <w:num w:numId="9">
    <w:abstractNumId w:val="0"/>
  </w:num>
  <w:num w:numId="10">
    <w:abstractNumId w:val="3"/>
  </w:num>
  <w:num w:numId="11">
    <w:abstractNumId w:val="13"/>
  </w:num>
  <w:num w:numId="12">
    <w:abstractNumId w:val="10"/>
  </w:num>
  <w:num w:numId="13">
    <w:abstractNumId w:val="11"/>
  </w:num>
  <w:num w:numId="14">
    <w:abstractNumId w:val="23"/>
  </w:num>
  <w:num w:numId="15">
    <w:abstractNumId w:val="16"/>
  </w:num>
  <w:num w:numId="16">
    <w:abstractNumId w:val="32"/>
  </w:num>
  <w:num w:numId="17">
    <w:abstractNumId w:val="28"/>
  </w:num>
  <w:num w:numId="18">
    <w:abstractNumId w:val="20"/>
  </w:num>
  <w:num w:numId="19">
    <w:abstractNumId w:val="21"/>
  </w:num>
  <w:num w:numId="20">
    <w:abstractNumId w:val="9"/>
  </w:num>
  <w:num w:numId="21">
    <w:abstractNumId w:val="31"/>
  </w:num>
  <w:num w:numId="22">
    <w:abstractNumId w:val="27"/>
  </w:num>
  <w:num w:numId="23">
    <w:abstractNumId w:val="14"/>
  </w:num>
  <w:num w:numId="24">
    <w:abstractNumId w:val="30"/>
  </w:num>
  <w:num w:numId="25">
    <w:abstractNumId w:val="7"/>
  </w:num>
  <w:num w:numId="26">
    <w:abstractNumId w:val="6"/>
  </w:num>
  <w:num w:numId="27">
    <w:abstractNumId w:val="18"/>
  </w:num>
  <w:num w:numId="28">
    <w:abstractNumId w:val="5"/>
  </w:num>
  <w:num w:numId="29">
    <w:abstractNumId w:val="1"/>
  </w:num>
  <w:num w:numId="30">
    <w:abstractNumId w:val="8"/>
  </w:num>
  <w:num w:numId="31">
    <w:abstractNumId w:val="26"/>
  </w:num>
  <w:num w:numId="32">
    <w:abstractNumId w:val="34"/>
  </w:num>
  <w:num w:numId="33">
    <w:abstractNumId w:val="25"/>
  </w:num>
  <w:num w:numId="34">
    <w:abstractNumId w:val="19"/>
  </w:num>
  <w:num w:numId="35">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linkStyles/>
  <w:documentProtection w:edit="readOnly" w:enforcement="1" w:cryptProviderType="rsaAES" w:cryptAlgorithmClass="hash" w:cryptAlgorithmType="typeAny" w:cryptAlgorithmSid="14" w:cryptSpinCount="100000" w:hash="Bo+grO8TRf8rFueYZx/yNvpsreLMLmycfGlgEzBMY/2jw4TfMCDN1IjBezOsmfNUq9KAb22ObVz8aaVQghAMCA==" w:salt="iNZejnuheaM8ZHunZxC5Y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F6"/>
    <w:rsid w:val="00004CEE"/>
    <w:rsid w:val="00007B11"/>
    <w:rsid w:val="00017ABA"/>
    <w:rsid w:val="00027C18"/>
    <w:rsid w:val="00044778"/>
    <w:rsid w:val="00053B5B"/>
    <w:rsid w:val="0005412F"/>
    <w:rsid w:val="00062AF2"/>
    <w:rsid w:val="000643D3"/>
    <w:rsid w:val="000739FA"/>
    <w:rsid w:val="00095806"/>
    <w:rsid w:val="00097406"/>
    <w:rsid w:val="000C10A7"/>
    <w:rsid w:val="000C11C4"/>
    <w:rsid w:val="000C1EC5"/>
    <w:rsid w:val="000C4B60"/>
    <w:rsid w:val="000C58C5"/>
    <w:rsid w:val="000D491A"/>
    <w:rsid w:val="000D6E0F"/>
    <w:rsid w:val="000E143E"/>
    <w:rsid w:val="000E695D"/>
    <w:rsid w:val="000F30D7"/>
    <w:rsid w:val="000F759A"/>
    <w:rsid w:val="001178DF"/>
    <w:rsid w:val="00122F86"/>
    <w:rsid w:val="001349B9"/>
    <w:rsid w:val="001519CC"/>
    <w:rsid w:val="0015213C"/>
    <w:rsid w:val="00161D80"/>
    <w:rsid w:val="001668C7"/>
    <w:rsid w:val="00176851"/>
    <w:rsid w:val="0019217E"/>
    <w:rsid w:val="001C2A90"/>
    <w:rsid w:val="001F57B2"/>
    <w:rsid w:val="001F697B"/>
    <w:rsid w:val="00201BC6"/>
    <w:rsid w:val="00217BEA"/>
    <w:rsid w:val="00224251"/>
    <w:rsid w:val="00225707"/>
    <w:rsid w:val="00232056"/>
    <w:rsid w:val="00232F92"/>
    <w:rsid w:val="00234246"/>
    <w:rsid w:val="00251B6E"/>
    <w:rsid w:val="00264F87"/>
    <w:rsid w:val="002655A4"/>
    <w:rsid w:val="002700D4"/>
    <w:rsid w:val="00285683"/>
    <w:rsid w:val="00297320"/>
    <w:rsid w:val="002B1B14"/>
    <w:rsid w:val="002B5430"/>
    <w:rsid w:val="002C38E5"/>
    <w:rsid w:val="002D2025"/>
    <w:rsid w:val="002E239C"/>
    <w:rsid w:val="002E6AE0"/>
    <w:rsid w:val="00301649"/>
    <w:rsid w:val="0030544B"/>
    <w:rsid w:val="00335417"/>
    <w:rsid w:val="003406CB"/>
    <w:rsid w:val="00346E51"/>
    <w:rsid w:val="00352ECF"/>
    <w:rsid w:val="00353372"/>
    <w:rsid w:val="00360373"/>
    <w:rsid w:val="003604C6"/>
    <w:rsid w:val="00362844"/>
    <w:rsid w:val="00370D95"/>
    <w:rsid w:val="00373A3A"/>
    <w:rsid w:val="00380B12"/>
    <w:rsid w:val="003974F1"/>
    <w:rsid w:val="003A467A"/>
    <w:rsid w:val="003C4DC2"/>
    <w:rsid w:val="003D2301"/>
    <w:rsid w:val="003D312B"/>
    <w:rsid w:val="0040009B"/>
    <w:rsid w:val="004033BE"/>
    <w:rsid w:val="00414793"/>
    <w:rsid w:val="004353B8"/>
    <w:rsid w:val="00455B8E"/>
    <w:rsid w:val="00467551"/>
    <w:rsid w:val="0047769C"/>
    <w:rsid w:val="00481E12"/>
    <w:rsid w:val="004A2097"/>
    <w:rsid w:val="004A3599"/>
    <w:rsid w:val="004B0246"/>
    <w:rsid w:val="004B13F4"/>
    <w:rsid w:val="004B47A2"/>
    <w:rsid w:val="004E5F2D"/>
    <w:rsid w:val="00501C4A"/>
    <w:rsid w:val="00502E28"/>
    <w:rsid w:val="00515693"/>
    <w:rsid w:val="0051597C"/>
    <w:rsid w:val="005203B1"/>
    <w:rsid w:val="00540579"/>
    <w:rsid w:val="0054255D"/>
    <w:rsid w:val="00546AB8"/>
    <w:rsid w:val="00550433"/>
    <w:rsid w:val="005504F2"/>
    <w:rsid w:val="00592D59"/>
    <w:rsid w:val="005A1ED9"/>
    <w:rsid w:val="005B4038"/>
    <w:rsid w:val="005B6CB8"/>
    <w:rsid w:val="005D52B4"/>
    <w:rsid w:val="005E09EF"/>
    <w:rsid w:val="005F49B0"/>
    <w:rsid w:val="00600050"/>
    <w:rsid w:val="00601A22"/>
    <w:rsid w:val="00606FD3"/>
    <w:rsid w:val="00610E5E"/>
    <w:rsid w:val="00622BA8"/>
    <w:rsid w:val="00632876"/>
    <w:rsid w:val="006459BC"/>
    <w:rsid w:val="006600F9"/>
    <w:rsid w:val="00660D48"/>
    <w:rsid w:val="006622F7"/>
    <w:rsid w:val="00675070"/>
    <w:rsid w:val="00685618"/>
    <w:rsid w:val="006B137A"/>
    <w:rsid w:val="006B7B05"/>
    <w:rsid w:val="006C25D4"/>
    <w:rsid w:val="006D1FD9"/>
    <w:rsid w:val="006E3BEC"/>
    <w:rsid w:val="006E4007"/>
    <w:rsid w:val="006E4752"/>
    <w:rsid w:val="006E482B"/>
    <w:rsid w:val="006F5A61"/>
    <w:rsid w:val="007165D1"/>
    <w:rsid w:val="0071793C"/>
    <w:rsid w:val="007270B4"/>
    <w:rsid w:val="00730BDF"/>
    <w:rsid w:val="007446B7"/>
    <w:rsid w:val="007468F6"/>
    <w:rsid w:val="0074709E"/>
    <w:rsid w:val="007472F3"/>
    <w:rsid w:val="007539D2"/>
    <w:rsid w:val="00754435"/>
    <w:rsid w:val="00755520"/>
    <w:rsid w:val="0076372E"/>
    <w:rsid w:val="0076380E"/>
    <w:rsid w:val="0076658D"/>
    <w:rsid w:val="007708BD"/>
    <w:rsid w:val="0077267D"/>
    <w:rsid w:val="00775891"/>
    <w:rsid w:val="007A0623"/>
    <w:rsid w:val="007B6E1F"/>
    <w:rsid w:val="007E042F"/>
    <w:rsid w:val="007E1048"/>
    <w:rsid w:val="007E5ADB"/>
    <w:rsid w:val="007F0D3A"/>
    <w:rsid w:val="00804D8A"/>
    <w:rsid w:val="00830712"/>
    <w:rsid w:val="00836AAE"/>
    <w:rsid w:val="0083764F"/>
    <w:rsid w:val="008426A2"/>
    <w:rsid w:val="00851830"/>
    <w:rsid w:val="00852AEE"/>
    <w:rsid w:val="00866872"/>
    <w:rsid w:val="00872EE6"/>
    <w:rsid w:val="008738AB"/>
    <w:rsid w:val="00887547"/>
    <w:rsid w:val="00893217"/>
    <w:rsid w:val="008A18DD"/>
    <w:rsid w:val="008A549D"/>
    <w:rsid w:val="008A757B"/>
    <w:rsid w:val="008B46B1"/>
    <w:rsid w:val="008B4E5D"/>
    <w:rsid w:val="008B7279"/>
    <w:rsid w:val="008C6A69"/>
    <w:rsid w:val="008D0D58"/>
    <w:rsid w:val="008D3181"/>
    <w:rsid w:val="008F16C3"/>
    <w:rsid w:val="0092442E"/>
    <w:rsid w:val="00927692"/>
    <w:rsid w:val="00932801"/>
    <w:rsid w:val="00950713"/>
    <w:rsid w:val="00955242"/>
    <w:rsid w:val="0097058A"/>
    <w:rsid w:val="00971EF5"/>
    <w:rsid w:val="00972517"/>
    <w:rsid w:val="009828AD"/>
    <w:rsid w:val="0098619D"/>
    <w:rsid w:val="00987296"/>
    <w:rsid w:val="009963F3"/>
    <w:rsid w:val="009A1EC2"/>
    <w:rsid w:val="009A5208"/>
    <w:rsid w:val="009A52A6"/>
    <w:rsid w:val="009A6A9D"/>
    <w:rsid w:val="009B1CEE"/>
    <w:rsid w:val="009C239E"/>
    <w:rsid w:val="009D09A0"/>
    <w:rsid w:val="009E6DEF"/>
    <w:rsid w:val="009F24EB"/>
    <w:rsid w:val="009F5377"/>
    <w:rsid w:val="009F6648"/>
    <w:rsid w:val="00A0110F"/>
    <w:rsid w:val="00A05D7B"/>
    <w:rsid w:val="00A1461C"/>
    <w:rsid w:val="00A1694B"/>
    <w:rsid w:val="00A17FBA"/>
    <w:rsid w:val="00A22233"/>
    <w:rsid w:val="00A236D2"/>
    <w:rsid w:val="00A33F24"/>
    <w:rsid w:val="00A3435D"/>
    <w:rsid w:val="00A362C7"/>
    <w:rsid w:val="00A365D6"/>
    <w:rsid w:val="00A420EE"/>
    <w:rsid w:val="00A4227A"/>
    <w:rsid w:val="00A65B1F"/>
    <w:rsid w:val="00A8515D"/>
    <w:rsid w:val="00A96083"/>
    <w:rsid w:val="00AA6616"/>
    <w:rsid w:val="00AB07C4"/>
    <w:rsid w:val="00AF0984"/>
    <w:rsid w:val="00B00CF4"/>
    <w:rsid w:val="00B03511"/>
    <w:rsid w:val="00B125C8"/>
    <w:rsid w:val="00B21F01"/>
    <w:rsid w:val="00B24784"/>
    <w:rsid w:val="00B25446"/>
    <w:rsid w:val="00B331F7"/>
    <w:rsid w:val="00B51FF1"/>
    <w:rsid w:val="00B60B33"/>
    <w:rsid w:val="00B60F4B"/>
    <w:rsid w:val="00B62BDA"/>
    <w:rsid w:val="00B64C2E"/>
    <w:rsid w:val="00B76521"/>
    <w:rsid w:val="00B778B6"/>
    <w:rsid w:val="00B81142"/>
    <w:rsid w:val="00B835C9"/>
    <w:rsid w:val="00B85DDA"/>
    <w:rsid w:val="00BB3781"/>
    <w:rsid w:val="00BC0EBF"/>
    <w:rsid w:val="00BC576A"/>
    <w:rsid w:val="00BE64D3"/>
    <w:rsid w:val="00BF7DA7"/>
    <w:rsid w:val="00C00348"/>
    <w:rsid w:val="00C03A60"/>
    <w:rsid w:val="00C220B5"/>
    <w:rsid w:val="00C22E13"/>
    <w:rsid w:val="00C27C8F"/>
    <w:rsid w:val="00C40F05"/>
    <w:rsid w:val="00C47AE0"/>
    <w:rsid w:val="00C52BB1"/>
    <w:rsid w:val="00C621D0"/>
    <w:rsid w:val="00C7111A"/>
    <w:rsid w:val="00C711F3"/>
    <w:rsid w:val="00C717CE"/>
    <w:rsid w:val="00C746CE"/>
    <w:rsid w:val="00C74A2F"/>
    <w:rsid w:val="00C77D18"/>
    <w:rsid w:val="00C80AB1"/>
    <w:rsid w:val="00C819C1"/>
    <w:rsid w:val="00C87E4C"/>
    <w:rsid w:val="00CB1A0B"/>
    <w:rsid w:val="00CC2FE9"/>
    <w:rsid w:val="00CC35CC"/>
    <w:rsid w:val="00CC4B85"/>
    <w:rsid w:val="00CD1F43"/>
    <w:rsid w:val="00D1389E"/>
    <w:rsid w:val="00D2175D"/>
    <w:rsid w:val="00D3308C"/>
    <w:rsid w:val="00D5323B"/>
    <w:rsid w:val="00D54507"/>
    <w:rsid w:val="00D661C1"/>
    <w:rsid w:val="00D807D1"/>
    <w:rsid w:val="00D83EC7"/>
    <w:rsid w:val="00DB6BF4"/>
    <w:rsid w:val="00DB6DE8"/>
    <w:rsid w:val="00E0346D"/>
    <w:rsid w:val="00E16740"/>
    <w:rsid w:val="00E60746"/>
    <w:rsid w:val="00E60B72"/>
    <w:rsid w:val="00E63320"/>
    <w:rsid w:val="00E655EE"/>
    <w:rsid w:val="00E659B7"/>
    <w:rsid w:val="00E700C4"/>
    <w:rsid w:val="00E765A6"/>
    <w:rsid w:val="00E8514A"/>
    <w:rsid w:val="00EA1C14"/>
    <w:rsid w:val="00EB7184"/>
    <w:rsid w:val="00EC1481"/>
    <w:rsid w:val="00EC3478"/>
    <w:rsid w:val="00EC3B25"/>
    <w:rsid w:val="00EC482D"/>
    <w:rsid w:val="00EC765F"/>
    <w:rsid w:val="00ED408D"/>
    <w:rsid w:val="00F216FA"/>
    <w:rsid w:val="00F23C5B"/>
    <w:rsid w:val="00F249F7"/>
    <w:rsid w:val="00F255B8"/>
    <w:rsid w:val="00F268A7"/>
    <w:rsid w:val="00F41C3E"/>
    <w:rsid w:val="00F63BAE"/>
    <w:rsid w:val="00F6669E"/>
    <w:rsid w:val="00F76D61"/>
    <w:rsid w:val="00F80820"/>
    <w:rsid w:val="00F87688"/>
    <w:rsid w:val="00FA1D83"/>
    <w:rsid w:val="00FA2980"/>
    <w:rsid w:val="00FB16C3"/>
    <w:rsid w:val="00FB5F97"/>
    <w:rsid w:val="00FC3E90"/>
    <w:rsid w:val="00FC53F8"/>
    <w:rsid w:val="00FE4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7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74F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rsid w:val="00264F8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rsid w:val="00264F8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264F8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rsid w:val="003974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74F1"/>
  </w:style>
  <w:style w:type="paragraph" w:customStyle="1" w:styleId="TCPTitle">
    <w:name w:val="TCP Title"/>
    <w:qFormat/>
    <w:rsid w:val="00264F87"/>
    <w:pPr>
      <w:spacing w:before="280"/>
      <w:outlineLvl w:val="0"/>
    </w:pPr>
    <w:rPr>
      <w:rFonts w:ascii="VIC SemiBold" w:hAnsi="VIC SemiBold"/>
      <w:color w:val="004C97"/>
      <w:sz w:val="28"/>
      <w:szCs w:val="28"/>
      <w:lang w:eastAsia="en-US"/>
    </w:rPr>
  </w:style>
  <w:style w:type="character" w:customStyle="1" w:styleId="Heading1Char">
    <w:name w:val="Heading 1 Char"/>
    <w:link w:val="Heading1"/>
    <w:uiPriority w:val="9"/>
    <w:rsid w:val="00264F87"/>
    <w:rPr>
      <w:rFonts w:ascii="Cambria" w:eastAsia="Times New Roman" w:hAnsi="Cambria"/>
      <w:b/>
      <w:bCs/>
      <w:color w:val="365F91"/>
      <w:sz w:val="28"/>
      <w:szCs w:val="28"/>
      <w:lang w:eastAsia="en-US"/>
    </w:rPr>
  </w:style>
  <w:style w:type="paragraph" w:customStyle="1" w:styleId="TCPBookTitle">
    <w:name w:val="TCP Book Title"/>
    <w:qFormat/>
    <w:rsid w:val="00264F87"/>
    <w:pPr>
      <w:spacing w:after="480"/>
      <w:outlineLvl w:val="0"/>
    </w:pPr>
    <w:rPr>
      <w:rFonts w:ascii="VIC" w:hAnsi="VIC"/>
      <w:b/>
      <w:caps/>
      <w:color w:val="004C97"/>
      <w:sz w:val="48"/>
      <w:szCs w:val="48"/>
      <w:lang w:eastAsia="en-US"/>
    </w:rPr>
  </w:style>
  <w:style w:type="paragraph" w:customStyle="1" w:styleId="TCPSeparator">
    <w:name w:val="TCP Separator"/>
    <w:qFormat/>
    <w:rsid w:val="00264F87"/>
    <w:pPr>
      <w:pBdr>
        <w:top w:val="single" w:sz="12" w:space="1" w:color="004C97"/>
      </w:pBdr>
      <w:spacing w:before="220" w:after="220"/>
    </w:pPr>
    <w:rPr>
      <w:rFonts w:ascii="VIC" w:hAnsi="VIC"/>
      <w:color w:val="004C97"/>
      <w:sz w:val="22"/>
      <w:szCs w:val="22"/>
      <w:lang w:eastAsia="en-US"/>
    </w:rPr>
  </w:style>
  <w:style w:type="paragraph" w:customStyle="1" w:styleId="TCPSubtitle">
    <w:name w:val="TCP Subtitle"/>
    <w:qFormat/>
    <w:rsid w:val="00264F87"/>
    <w:pPr>
      <w:spacing w:before="280" w:after="280"/>
      <w:outlineLvl w:val="1"/>
    </w:pPr>
    <w:rPr>
      <w:rFonts w:ascii="VIC SemiBold" w:hAnsi="VIC SemiBold"/>
      <w:color w:val="53565A"/>
      <w:sz w:val="28"/>
      <w:szCs w:val="28"/>
      <w:lang w:eastAsia="en-US"/>
    </w:rPr>
  </w:style>
  <w:style w:type="paragraph" w:styleId="Quote">
    <w:name w:val="Quote"/>
    <w:basedOn w:val="Normal"/>
    <w:next w:val="Normal"/>
    <w:link w:val="QuoteChar"/>
    <w:uiPriority w:val="29"/>
    <w:rsid w:val="00264F87"/>
    <w:rPr>
      <w:i/>
      <w:iCs/>
      <w:color w:val="000000"/>
    </w:rPr>
  </w:style>
  <w:style w:type="character" w:customStyle="1" w:styleId="QuoteChar">
    <w:name w:val="Quote Char"/>
    <w:link w:val="Quote"/>
    <w:uiPriority w:val="29"/>
    <w:rsid w:val="00264F87"/>
    <w:rPr>
      <w:rFonts w:ascii="VIC" w:hAnsi="VIC"/>
      <w:i/>
      <w:iCs/>
      <w:color w:val="000000"/>
      <w:sz w:val="22"/>
      <w:szCs w:val="22"/>
      <w:lang w:eastAsia="en-US"/>
    </w:rPr>
  </w:style>
  <w:style w:type="paragraph" w:customStyle="1" w:styleId="TCPTOCLevel1">
    <w:name w:val="TCP TOC Level 1"/>
    <w:rsid w:val="00264F87"/>
    <w:pPr>
      <w:spacing w:before="120" w:after="120"/>
      <w:ind w:left="454" w:hanging="454"/>
      <w:outlineLvl w:val="4"/>
    </w:pPr>
    <w:rPr>
      <w:rFonts w:ascii="VIC" w:hAnsi="VIC"/>
      <w:b/>
      <w:color w:val="53565A"/>
      <w:sz w:val="22"/>
      <w:szCs w:val="22"/>
      <w:lang w:eastAsia="en-US"/>
    </w:rPr>
  </w:style>
  <w:style w:type="paragraph" w:customStyle="1" w:styleId="TCPTOCLevel2">
    <w:name w:val="TCP TOC Level 2"/>
    <w:basedOn w:val="TCPTOCLevel1"/>
    <w:rsid w:val="00264F87"/>
    <w:pPr>
      <w:ind w:left="908"/>
    </w:pPr>
    <w:rPr>
      <w:rFonts w:ascii="VIC SemiBold" w:hAnsi="VIC SemiBold"/>
    </w:rPr>
  </w:style>
  <w:style w:type="paragraph" w:customStyle="1" w:styleId="TCPTOCLevel3">
    <w:name w:val="TCP TOC Level 3"/>
    <w:basedOn w:val="TCPTOCLevel2"/>
    <w:rsid w:val="00264F87"/>
    <w:rPr>
      <w:b w:val="0"/>
    </w:rPr>
  </w:style>
  <w:style w:type="paragraph" w:customStyle="1" w:styleId="TCPHeading1">
    <w:name w:val="TCP Heading 1"/>
    <w:link w:val="TCPHeading1Char"/>
    <w:qFormat/>
    <w:rsid w:val="00264F87"/>
    <w:pPr>
      <w:spacing w:before="360" w:after="360"/>
      <w:outlineLvl w:val="0"/>
    </w:pPr>
    <w:rPr>
      <w:rFonts w:ascii="VIC" w:hAnsi="VIC"/>
      <w:b/>
      <w:color w:val="004C97"/>
      <w:sz w:val="36"/>
      <w:szCs w:val="36"/>
      <w:lang w:eastAsia="en-US"/>
    </w:rPr>
  </w:style>
  <w:style w:type="paragraph" w:customStyle="1" w:styleId="TCPNH1">
    <w:name w:val="TCP NH1"/>
    <w:basedOn w:val="Normal"/>
    <w:next w:val="TCPHeading1"/>
    <w:qFormat/>
    <w:rsid w:val="00264F87"/>
    <w:pPr>
      <w:numPr>
        <w:numId w:val="1"/>
      </w:numPr>
      <w:spacing w:before="360" w:after="360"/>
      <w:ind w:left="454" w:hanging="454"/>
      <w:outlineLvl w:val="0"/>
    </w:pPr>
    <w:rPr>
      <w:b/>
      <w:color w:val="004C97"/>
      <w:sz w:val="36"/>
      <w:szCs w:val="36"/>
    </w:rPr>
  </w:style>
  <w:style w:type="paragraph" w:customStyle="1" w:styleId="TCPHeading2">
    <w:name w:val="TCP Heading 2"/>
    <w:basedOn w:val="TCPHeading1"/>
    <w:link w:val="TCPHeading2Char"/>
    <w:qFormat/>
    <w:rsid w:val="00264F87"/>
    <w:pPr>
      <w:spacing w:before="320" w:after="320"/>
      <w:outlineLvl w:val="1"/>
    </w:pPr>
    <w:rPr>
      <w:b w:val="0"/>
      <w:sz w:val="32"/>
      <w:szCs w:val="32"/>
    </w:rPr>
  </w:style>
  <w:style w:type="paragraph" w:customStyle="1" w:styleId="TCPNH2">
    <w:name w:val="TCP NH2"/>
    <w:basedOn w:val="Normal"/>
    <w:qFormat/>
    <w:rsid w:val="00264F87"/>
    <w:pPr>
      <w:numPr>
        <w:numId w:val="2"/>
      </w:numPr>
      <w:spacing w:before="320" w:after="320"/>
      <w:ind w:left="454" w:hanging="454"/>
      <w:outlineLvl w:val="1"/>
    </w:pPr>
    <w:rPr>
      <w:color w:val="004C97"/>
      <w:sz w:val="32"/>
      <w:szCs w:val="32"/>
    </w:rPr>
  </w:style>
  <w:style w:type="paragraph" w:customStyle="1" w:styleId="TCPHeading3">
    <w:name w:val="TCP Heading 3"/>
    <w:basedOn w:val="TCPHeading2"/>
    <w:qFormat/>
    <w:rsid w:val="00264F87"/>
    <w:pPr>
      <w:spacing w:before="280" w:after="280"/>
      <w:outlineLvl w:val="2"/>
    </w:pPr>
    <w:rPr>
      <w:b/>
      <w:color w:val="53565A"/>
      <w:sz w:val="28"/>
      <w:szCs w:val="28"/>
    </w:rPr>
  </w:style>
  <w:style w:type="paragraph" w:customStyle="1" w:styleId="TCPNH3">
    <w:name w:val="TCP NH3"/>
    <w:basedOn w:val="Normal"/>
    <w:qFormat/>
    <w:rsid w:val="00264F87"/>
    <w:pPr>
      <w:numPr>
        <w:numId w:val="3"/>
      </w:numPr>
      <w:spacing w:before="280" w:after="280"/>
      <w:ind w:left="454" w:hanging="454"/>
      <w:outlineLvl w:val="2"/>
    </w:pPr>
    <w:rPr>
      <w:b/>
      <w:sz w:val="28"/>
      <w:szCs w:val="28"/>
    </w:rPr>
  </w:style>
  <w:style w:type="paragraph" w:customStyle="1" w:styleId="TCPHeading4">
    <w:name w:val="TCP Heading 4"/>
    <w:basedOn w:val="TCPHeading3"/>
    <w:qFormat/>
    <w:rsid w:val="00264F87"/>
    <w:pPr>
      <w:spacing w:before="240" w:after="240"/>
      <w:outlineLvl w:val="3"/>
    </w:pPr>
    <w:rPr>
      <w:b w:val="0"/>
      <w:sz w:val="24"/>
      <w:szCs w:val="24"/>
    </w:rPr>
  </w:style>
  <w:style w:type="paragraph" w:customStyle="1" w:styleId="TCPNH4">
    <w:name w:val="TCP NH4"/>
    <w:basedOn w:val="Normal"/>
    <w:qFormat/>
    <w:rsid w:val="00264F87"/>
    <w:pPr>
      <w:numPr>
        <w:numId w:val="4"/>
      </w:numPr>
      <w:spacing w:before="240" w:after="240"/>
      <w:ind w:left="454" w:hanging="454"/>
      <w:outlineLvl w:val="3"/>
    </w:pPr>
    <w:rPr>
      <w:sz w:val="24"/>
      <w:szCs w:val="24"/>
    </w:rPr>
  </w:style>
  <w:style w:type="paragraph" w:customStyle="1" w:styleId="TCPBodyNormal">
    <w:name w:val="TCP Body (Normal)"/>
    <w:basedOn w:val="Normal"/>
    <w:qFormat/>
    <w:rsid w:val="00264F87"/>
  </w:style>
  <w:style w:type="paragraph" w:customStyle="1" w:styleId="TCPListParagraph">
    <w:name w:val="TCP List Paragraph"/>
    <w:basedOn w:val="TCPBodyNormal"/>
    <w:qFormat/>
    <w:rsid w:val="00264F87"/>
    <w:pPr>
      <w:ind w:left="454"/>
    </w:pPr>
  </w:style>
  <w:style w:type="paragraph" w:customStyle="1" w:styleId="TCPStrong">
    <w:name w:val="TCP Strong"/>
    <w:basedOn w:val="TCPBodyNormal"/>
    <w:qFormat/>
    <w:rsid w:val="00264F87"/>
    <w:rPr>
      <w:b/>
    </w:rPr>
  </w:style>
  <w:style w:type="paragraph" w:customStyle="1" w:styleId="TCPItalic">
    <w:name w:val="TCP Italic"/>
    <w:basedOn w:val="TCPBodyNormal"/>
    <w:qFormat/>
    <w:rsid w:val="00264F87"/>
    <w:rPr>
      <w:i/>
    </w:rPr>
  </w:style>
  <w:style w:type="paragraph" w:customStyle="1" w:styleId="TCPSubtleEmphasis">
    <w:name w:val="TCP Subtle Emphasis"/>
    <w:basedOn w:val="Normal"/>
    <w:qFormat/>
    <w:rsid w:val="00264F87"/>
    <w:rPr>
      <w:sz w:val="20"/>
      <w:szCs w:val="20"/>
    </w:rPr>
  </w:style>
  <w:style w:type="paragraph" w:customStyle="1" w:styleId="TCPEmphasis">
    <w:name w:val="TCP Emphasis"/>
    <w:basedOn w:val="TCPSubtleEmphasis"/>
    <w:qFormat/>
    <w:rsid w:val="00264F87"/>
    <w:pPr>
      <w:spacing w:before="220" w:after="220"/>
    </w:pPr>
    <w:rPr>
      <w:b/>
      <w:sz w:val="22"/>
    </w:rPr>
  </w:style>
  <w:style w:type="paragraph" w:customStyle="1" w:styleId="TCPQuote">
    <w:name w:val="TCP Quote"/>
    <w:basedOn w:val="Normal"/>
    <w:qFormat/>
    <w:rsid w:val="00264F87"/>
    <w:pPr>
      <w:ind w:left="454"/>
    </w:pPr>
    <w:rPr>
      <w:color w:val="000000"/>
      <w:sz w:val="20"/>
      <w:szCs w:val="20"/>
    </w:rPr>
  </w:style>
  <w:style w:type="paragraph" w:customStyle="1" w:styleId="TCPIntenseQuote">
    <w:name w:val="TCP Intense Quote"/>
    <w:basedOn w:val="TCPQuote"/>
    <w:qFormat/>
    <w:rsid w:val="00264F87"/>
    <w:rPr>
      <w:b/>
      <w:color w:val="53565A"/>
      <w:sz w:val="22"/>
    </w:rPr>
  </w:style>
  <w:style w:type="paragraph" w:customStyle="1" w:styleId="TCPSubtleReference">
    <w:name w:val="TCP Subtle Reference"/>
    <w:basedOn w:val="Normal"/>
    <w:qFormat/>
    <w:rsid w:val="00264F87"/>
    <w:rPr>
      <w:sz w:val="20"/>
      <w:szCs w:val="20"/>
    </w:rPr>
  </w:style>
  <w:style w:type="paragraph" w:customStyle="1" w:styleId="TCPReference">
    <w:name w:val="TCP Reference"/>
    <w:basedOn w:val="TCPSubtleReference"/>
    <w:qFormat/>
    <w:rsid w:val="00264F87"/>
    <w:rPr>
      <w:sz w:val="22"/>
    </w:rPr>
  </w:style>
  <w:style w:type="paragraph" w:customStyle="1" w:styleId="TCPNumbering10">
    <w:name w:val="TCP Numbering 1"/>
    <w:basedOn w:val="Normal"/>
    <w:qFormat/>
    <w:rsid w:val="00264F87"/>
    <w:pPr>
      <w:spacing w:before="300" w:after="60"/>
      <w:ind w:left="454" w:hanging="454"/>
      <w:contextualSpacing/>
      <w:outlineLvl w:val="4"/>
    </w:pPr>
    <w:rPr>
      <w:b/>
    </w:rPr>
  </w:style>
  <w:style w:type="paragraph" w:customStyle="1" w:styleId="TCPNumbering2">
    <w:name w:val="TCP Numbering 2"/>
    <w:basedOn w:val="Normal"/>
    <w:qFormat/>
    <w:rsid w:val="00264F87"/>
    <w:pPr>
      <w:numPr>
        <w:ilvl w:val="1"/>
        <w:numId w:val="12"/>
      </w:numPr>
      <w:spacing w:before="60" w:after="60"/>
      <w:outlineLvl w:val="5"/>
    </w:pPr>
  </w:style>
  <w:style w:type="paragraph" w:customStyle="1" w:styleId="TCPNumbering3">
    <w:name w:val="TCP Numbering 3"/>
    <w:basedOn w:val="Normal"/>
    <w:qFormat/>
    <w:rsid w:val="00264F87"/>
    <w:pPr>
      <w:numPr>
        <w:ilvl w:val="2"/>
        <w:numId w:val="13"/>
      </w:numPr>
      <w:spacing w:before="60" w:after="60"/>
      <w:ind w:left="1701" w:hanging="680"/>
      <w:outlineLvl w:val="6"/>
    </w:pPr>
  </w:style>
  <w:style w:type="paragraph" w:customStyle="1" w:styleId="TCPNumbering40">
    <w:name w:val="TCP Numbering 4"/>
    <w:basedOn w:val="Normal"/>
    <w:qFormat/>
    <w:rsid w:val="00264F87"/>
    <w:pPr>
      <w:numPr>
        <w:ilvl w:val="3"/>
        <w:numId w:val="14"/>
      </w:numPr>
      <w:spacing w:before="60" w:after="60"/>
      <w:ind w:left="2495" w:hanging="794"/>
      <w:outlineLvl w:val="7"/>
    </w:pPr>
  </w:style>
  <w:style w:type="paragraph" w:customStyle="1" w:styleId="TCPNumbering50">
    <w:name w:val="TCP Numbering 5"/>
    <w:basedOn w:val="Normal"/>
    <w:qFormat/>
    <w:rsid w:val="00264F87"/>
    <w:pPr>
      <w:numPr>
        <w:ilvl w:val="4"/>
        <w:numId w:val="15"/>
      </w:numPr>
      <w:spacing w:before="60" w:after="60"/>
      <w:ind w:left="3402" w:hanging="907"/>
      <w:outlineLvl w:val="8"/>
    </w:pPr>
  </w:style>
  <w:style w:type="paragraph" w:customStyle="1" w:styleId="TCPBullet10">
    <w:name w:val="TCP Bullet 1"/>
    <w:basedOn w:val="Normal"/>
    <w:qFormat/>
    <w:rsid w:val="00264F87"/>
    <w:pPr>
      <w:spacing w:before="60" w:after="60"/>
      <w:ind w:left="454" w:hanging="454"/>
    </w:pPr>
  </w:style>
  <w:style w:type="paragraph" w:customStyle="1" w:styleId="TCPBullet20">
    <w:name w:val="TCP Bullet 2"/>
    <w:basedOn w:val="Normal"/>
    <w:qFormat/>
    <w:rsid w:val="00264F87"/>
    <w:pPr>
      <w:spacing w:before="60" w:after="60"/>
      <w:ind w:left="908" w:hanging="454"/>
    </w:pPr>
  </w:style>
  <w:style w:type="paragraph" w:customStyle="1" w:styleId="TCPBullet30">
    <w:name w:val="TCP Bullet 3"/>
    <w:basedOn w:val="Normal"/>
    <w:qFormat/>
    <w:rsid w:val="00264F87"/>
    <w:pPr>
      <w:spacing w:before="60" w:after="60"/>
      <w:ind w:left="1361" w:hanging="454"/>
    </w:pPr>
  </w:style>
  <w:style w:type="paragraph" w:customStyle="1" w:styleId="TCPBullet40">
    <w:name w:val="TCP Bullet 4"/>
    <w:basedOn w:val="Normal"/>
    <w:qFormat/>
    <w:rsid w:val="00264F87"/>
    <w:pPr>
      <w:spacing w:before="60" w:after="60"/>
      <w:ind w:left="1815" w:hanging="454"/>
    </w:pPr>
  </w:style>
  <w:style w:type="paragraph" w:customStyle="1" w:styleId="TCPBullet50">
    <w:name w:val="TCP Bullet 5"/>
    <w:basedOn w:val="Normal"/>
    <w:qFormat/>
    <w:rsid w:val="00264F87"/>
    <w:pPr>
      <w:spacing w:before="60" w:after="60"/>
      <w:ind w:left="2268" w:hanging="454"/>
    </w:pPr>
  </w:style>
  <w:style w:type="paragraph" w:customStyle="1" w:styleId="TCPHeader">
    <w:name w:val="TCP Header"/>
    <w:basedOn w:val="Normal"/>
    <w:qFormat/>
    <w:rsid w:val="00264F87"/>
    <w:pPr>
      <w:spacing w:before="60" w:after="60"/>
    </w:pPr>
    <w:rPr>
      <w:sz w:val="18"/>
      <w:szCs w:val="18"/>
    </w:rPr>
  </w:style>
  <w:style w:type="paragraph" w:customStyle="1" w:styleId="TCPFooter">
    <w:name w:val="TCP Footer"/>
    <w:basedOn w:val="Normal"/>
    <w:qFormat/>
    <w:rsid w:val="00264F87"/>
    <w:pPr>
      <w:spacing w:before="60" w:after="60"/>
    </w:pPr>
    <w:rPr>
      <w:sz w:val="16"/>
      <w:szCs w:val="18"/>
    </w:rPr>
  </w:style>
  <w:style w:type="paragraph" w:styleId="Header">
    <w:name w:val="header"/>
    <w:basedOn w:val="Normal"/>
    <w:link w:val="HeaderChar"/>
    <w:uiPriority w:val="99"/>
    <w:unhideWhenUsed/>
    <w:rsid w:val="00264F87"/>
    <w:pPr>
      <w:tabs>
        <w:tab w:val="center" w:pos="4513"/>
        <w:tab w:val="right" w:pos="9026"/>
      </w:tabs>
      <w:spacing w:after="0"/>
    </w:pPr>
  </w:style>
  <w:style w:type="character" w:customStyle="1" w:styleId="HeaderChar">
    <w:name w:val="Header Char"/>
    <w:link w:val="Header"/>
    <w:uiPriority w:val="99"/>
    <w:rsid w:val="00264F87"/>
    <w:rPr>
      <w:rFonts w:ascii="VIC" w:hAnsi="VIC"/>
      <w:color w:val="53565A"/>
      <w:sz w:val="22"/>
      <w:szCs w:val="22"/>
      <w:lang w:eastAsia="en-US"/>
    </w:rPr>
  </w:style>
  <w:style w:type="paragraph" w:styleId="Footer">
    <w:name w:val="footer"/>
    <w:basedOn w:val="Normal"/>
    <w:link w:val="FooterChar"/>
    <w:uiPriority w:val="99"/>
    <w:unhideWhenUsed/>
    <w:rsid w:val="00264F87"/>
    <w:pPr>
      <w:tabs>
        <w:tab w:val="center" w:pos="4513"/>
        <w:tab w:val="right" w:pos="9026"/>
      </w:tabs>
      <w:spacing w:after="0"/>
    </w:pPr>
  </w:style>
  <w:style w:type="character" w:customStyle="1" w:styleId="FooterChar">
    <w:name w:val="Footer Char"/>
    <w:link w:val="Footer"/>
    <w:uiPriority w:val="99"/>
    <w:rsid w:val="00264F87"/>
    <w:rPr>
      <w:rFonts w:ascii="VIC" w:hAnsi="VIC"/>
      <w:color w:val="53565A"/>
      <w:sz w:val="22"/>
      <w:szCs w:val="22"/>
      <w:lang w:eastAsia="en-US"/>
    </w:rPr>
  </w:style>
  <w:style w:type="paragraph" w:customStyle="1" w:styleId="TCPSeparator0">
    <w:name w:val="# TCP Separator"/>
    <w:basedOn w:val="TCPSeparator"/>
    <w:rsid w:val="00264F87"/>
    <w:pPr>
      <w:pBdr>
        <w:top w:val="single" w:sz="12" w:space="1" w:color="000000"/>
      </w:pBdr>
      <w:spacing w:line="300" w:lineRule="auto"/>
    </w:pPr>
    <w:rPr>
      <w:rFonts w:ascii="Times New Roman" w:hAnsi="Times New Roman"/>
      <w:color w:val="000000"/>
    </w:rPr>
  </w:style>
  <w:style w:type="paragraph" w:customStyle="1" w:styleId="TCPSubtitle0">
    <w:name w:val="# TCP Subtitle"/>
    <w:basedOn w:val="TCPSubtitle"/>
    <w:rsid w:val="00264F87"/>
    <w:pPr>
      <w:pBdr>
        <w:right w:val="single" w:sz="4" w:space="27" w:color="auto"/>
      </w:pBdr>
      <w:spacing w:line="300" w:lineRule="auto"/>
      <w:ind w:left="567" w:right="567"/>
    </w:pPr>
    <w:rPr>
      <w:rFonts w:ascii="Times New Roman" w:hAnsi="Times New Roman"/>
      <w:color w:val="000000"/>
    </w:rPr>
  </w:style>
  <w:style w:type="paragraph" w:customStyle="1" w:styleId="TCPHeading10">
    <w:name w:val="# TCP Heading 1"/>
    <w:basedOn w:val="TCPHeading1"/>
    <w:rsid w:val="00264F87"/>
    <w:pPr>
      <w:pBdr>
        <w:right w:val="single" w:sz="4" w:space="27" w:color="auto"/>
      </w:pBdr>
      <w:spacing w:line="300" w:lineRule="auto"/>
      <w:ind w:left="567" w:right="567"/>
    </w:pPr>
    <w:rPr>
      <w:rFonts w:ascii="Times New Roman" w:hAnsi="Times New Roman"/>
      <w:color w:val="000000"/>
    </w:rPr>
  </w:style>
  <w:style w:type="paragraph" w:customStyle="1" w:styleId="TCPNH10">
    <w:name w:val="# TCP NH1"/>
    <w:basedOn w:val="TCPNH1"/>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20">
    <w:name w:val="# TCP Heading 2"/>
    <w:basedOn w:val="TCPHeading2"/>
    <w:link w:val="TCPHeading2Char0"/>
    <w:rsid w:val="00264F87"/>
    <w:pPr>
      <w:pBdr>
        <w:right w:val="single" w:sz="4" w:space="27" w:color="auto"/>
      </w:pBdr>
      <w:spacing w:line="300" w:lineRule="auto"/>
      <w:ind w:left="567" w:right="567"/>
    </w:pPr>
    <w:rPr>
      <w:rFonts w:ascii="Times New Roman" w:hAnsi="Times New Roman"/>
      <w:color w:val="000000"/>
    </w:rPr>
  </w:style>
  <w:style w:type="paragraph" w:customStyle="1" w:styleId="TCPNH20">
    <w:name w:val="# TCP NH2"/>
    <w:basedOn w:val="TCPNH2"/>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30">
    <w:name w:val="# TCP Heading 3"/>
    <w:basedOn w:val="TCPHeading3"/>
    <w:rsid w:val="00264F87"/>
    <w:pPr>
      <w:pBdr>
        <w:right w:val="single" w:sz="4" w:space="27" w:color="auto"/>
      </w:pBdr>
      <w:spacing w:line="300" w:lineRule="auto"/>
      <w:ind w:left="567" w:right="567"/>
    </w:pPr>
    <w:rPr>
      <w:rFonts w:ascii="Times New Roman" w:hAnsi="Times New Roman"/>
      <w:color w:val="000000"/>
    </w:rPr>
  </w:style>
  <w:style w:type="paragraph" w:customStyle="1" w:styleId="TCPNH30">
    <w:name w:val="# TCP NH3"/>
    <w:basedOn w:val="TCPNH3"/>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40">
    <w:name w:val="# TCP Heading 4"/>
    <w:basedOn w:val="TCPHeading4"/>
    <w:rsid w:val="00264F87"/>
    <w:pPr>
      <w:pBdr>
        <w:right w:val="single" w:sz="4" w:space="27" w:color="auto"/>
      </w:pBdr>
      <w:spacing w:line="300" w:lineRule="auto"/>
      <w:ind w:left="567" w:right="567"/>
    </w:pPr>
    <w:rPr>
      <w:rFonts w:ascii="Times New Roman" w:hAnsi="Times New Roman"/>
      <w:color w:val="000000"/>
    </w:rPr>
  </w:style>
  <w:style w:type="paragraph" w:customStyle="1" w:styleId="TCPNH40">
    <w:name w:val="# TCP NH4"/>
    <w:basedOn w:val="TCPNH4"/>
    <w:rsid w:val="00264F87"/>
    <w:pPr>
      <w:pBdr>
        <w:right w:val="single" w:sz="4" w:space="27" w:color="auto"/>
      </w:pBdr>
      <w:spacing w:line="300" w:lineRule="auto"/>
      <w:ind w:left="1021" w:right="567"/>
    </w:pPr>
    <w:rPr>
      <w:rFonts w:ascii="Times New Roman" w:hAnsi="Times New Roman"/>
      <w:color w:val="000000"/>
    </w:rPr>
  </w:style>
  <w:style w:type="paragraph" w:customStyle="1" w:styleId="TCPBodyNormal0">
    <w:name w:val="# TCP Body (Normal)"/>
    <w:basedOn w:val="TCPBodyNormal"/>
    <w:rsid w:val="00264F87"/>
    <w:pPr>
      <w:pBdr>
        <w:right w:val="single" w:sz="4" w:space="27" w:color="auto"/>
      </w:pBdr>
      <w:spacing w:line="300" w:lineRule="auto"/>
      <w:ind w:left="567" w:right="567"/>
      <w:jc w:val="both"/>
    </w:pPr>
    <w:rPr>
      <w:rFonts w:ascii="Times New Roman" w:hAnsi="Times New Roman"/>
      <w:color w:val="000000"/>
    </w:rPr>
  </w:style>
  <w:style w:type="paragraph" w:customStyle="1" w:styleId="TCPListParagraph0">
    <w:name w:val="# TCP List Paragraph"/>
    <w:basedOn w:val="TCPListParagraph"/>
    <w:rsid w:val="00264F87"/>
    <w:pPr>
      <w:pBdr>
        <w:right w:val="single" w:sz="4" w:space="27" w:color="auto"/>
      </w:pBdr>
      <w:spacing w:line="300" w:lineRule="auto"/>
      <w:ind w:left="1021" w:right="567"/>
    </w:pPr>
    <w:rPr>
      <w:rFonts w:ascii="Times New Roman" w:hAnsi="Times New Roman"/>
      <w:color w:val="000000"/>
    </w:rPr>
  </w:style>
  <w:style w:type="paragraph" w:customStyle="1" w:styleId="TCPStrong0">
    <w:name w:val="# TCP Strong"/>
    <w:basedOn w:val="Normal"/>
    <w:next w:val="TCPStrong"/>
    <w:rsid w:val="00264F87"/>
    <w:pPr>
      <w:pBdr>
        <w:right w:val="single" w:sz="4" w:space="27" w:color="auto"/>
      </w:pBdr>
      <w:spacing w:line="300" w:lineRule="auto"/>
      <w:ind w:left="567" w:right="567"/>
    </w:pPr>
    <w:rPr>
      <w:rFonts w:ascii="Times New Roman" w:hAnsi="Times New Roman"/>
      <w:b/>
      <w:color w:val="000000"/>
    </w:rPr>
  </w:style>
  <w:style w:type="paragraph" w:customStyle="1" w:styleId="TCPItalic0">
    <w:name w:val="# TCP Italic"/>
    <w:basedOn w:val="Normal"/>
    <w:next w:val="TCPItalic"/>
    <w:rsid w:val="00264F87"/>
    <w:pPr>
      <w:pBdr>
        <w:right w:val="single" w:sz="4" w:space="27" w:color="auto"/>
      </w:pBdr>
      <w:spacing w:line="300" w:lineRule="auto"/>
      <w:ind w:left="567" w:right="567"/>
    </w:pPr>
    <w:rPr>
      <w:rFonts w:ascii="Times New Roman" w:hAnsi="Times New Roman"/>
      <w:i/>
      <w:color w:val="000000"/>
    </w:rPr>
  </w:style>
  <w:style w:type="paragraph" w:customStyle="1" w:styleId="TCPSubtleEmphasis0">
    <w:name w:val="# TCP Subtle Emphasis"/>
    <w:basedOn w:val="TCPSubtleEmphasis"/>
    <w:rsid w:val="00264F87"/>
    <w:pPr>
      <w:pBdr>
        <w:right w:val="single" w:sz="4" w:space="27" w:color="auto"/>
      </w:pBdr>
      <w:spacing w:line="300" w:lineRule="auto"/>
      <w:ind w:left="567" w:right="567"/>
    </w:pPr>
    <w:rPr>
      <w:rFonts w:ascii="Times New Roman" w:hAnsi="Times New Roman"/>
      <w:color w:val="000000"/>
    </w:rPr>
  </w:style>
  <w:style w:type="paragraph" w:customStyle="1" w:styleId="TCPEmphasis0">
    <w:name w:val="# TCP Emphasis"/>
    <w:basedOn w:val="TCPEmphasis"/>
    <w:rsid w:val="00264F87"/>
    <w:pPr>
      <w:pBdr>
        <w:right w:val="single" w:sz="4" w:space="27" w:color="auto"/>
      </w:pBdr>
      <w:spacing w:line="300" w:lineRule="auto"/>
      <w:ind w:left="567" w:right="567"/>
    </w:pPr>
    <w:rPr>
      <w:rFonts w:ascii="Times New Roman" w:hAnsi="Times New Roman"/>
      <w:color w:val="000000"/>
    </w:rPr>
  </w:style>
  <w:style w:type="paragraph" w:customStyle="1" w:styleId="TCPNumbering1">
    <w:name w:val="# TCP Numbering 1"/>
    <w:basedOn w:val="Normal"/>
    <w:rsid w:val="00264F87"/>
    <w:pPr>
      <w:numPr>
        <w:numId w:val="5"/>
      </w:numPr>
      <w:pBdr>
        <w:right w:val="single" w:sz="4" w:space="27" w:color="auto"/>
      </w:pBdr>
      <w:spacing w:before="300" w:after="60" w:line="300" w:lineRule="auto"/>
      <w:ind w:left="1021" w:right="567"/>
      <w:contextualSpacing/>
      <w:jc w:val="both"/>
    </w:pPr>
    <w:rPr>
      <w:rFonts w:ascii="Times New Roman" w:hAnsi="Times New Roman"/>
      <w:color w:val="000000"/>
    </w:rPr>
  </w:style>
  <w:style w:type="paragraph" w:customStyle="1" w:styleId="TCPNumbering20">
    <w:name w:val="# TCP Numbering 2"/>
    <w:basedOn w:val="Normal"/>
    <w:rsid w:val="00264F87"/>
    <w:pPr>
      <w:pBdr>
        <w:right w:val="single" w:sz="4" w:space="27" w:color="auto"/>
      </w:pBdr>
      <w:spacing w:before="60" w:after="60" w:line="300" w:lineRule="auto"/>
      <w:ind w:right="567"/>
      <w:jc w:val="both"/>
    </w:pPr>
    <w:rPr>
      <w:rFonts w:ascii="Times New Roman" w:hAnsi="Times New Roman"/>
      <w:color w:val="000000"/>
    </w:rPr>
  </w:style>
  <w:style w:type="paragraph" w:customStyle="1" w:styleId="TCPNumbering30">
    <w:name w:val="# TCP Numbering 3"/>
    <w:basedOn w:val="Normal"/>
    <w:rsid w:val="00264F87"/>
    <w:pPr>
      <w:numPr>
        <w:ilvl w:val="2"/>
        <w:numId w:val="5"/>
      </w:numPr>
      <w:pBdr>
        <w:right w:val="single" w:sz="4" w:space="27" w:color="auto"/>
      </w:pBdr>
      <w:spacing w:before="60" w:after="60" w:line="300" w:lineRule="auto"/>
      <w:ind w:left="2268" w:right="567" w:hanging="680"/>
      <w:jc w:val="both"/>
    </w:pPr>
    <w:rPr>
      <w:rFonts w:ascii="Times New Roman" w:hAnsi="Times New Roman"/>
      <w:color w:val="000000"/>
    </w:rPr>
  </w:style>
  <w:style w:type="paragraph" w:customStyle="1" w:styleId="TCPNumbering4">
    <w:name w:val="# TCP Numbering 4"/>
    <w:basedOn w:val="Normal"/>
    <w:rsid w:val="00264F87"/>
    <w:pPr>
      <w:numPr>
        <w:ilvl w:val="3"/>
        <w:numId w:val="5"/>
      </w:numPr>
      <w:pBdr>
        <w:right w:val="single" w:sz="4" w:space="27" w:color="auto"/>
      </w:pBdr>
      <w:spacing w:before="60" w:after="60" w:line="300" w:lineRule="auto"/>
      <w:ind w:left="3062" w:right="567" w:hanging="794"/>
      <w:jc w:val="both"/>
    </w:pPr>
    <w:rPr>
      <w:rFonts w:ascii="Times New Roman" w:hAnsi="Times New Roman"/>
      <w:color w:val="000000"/>
    </w:rPr>
  </w:style>
  <w:style w:type="paragraph" w:customStyle="1" w:styleId="TCPNumbering5">
    <w:name w:val="# TCP Numbering 5"/>
    <w:basedOn w:val="Normal"/>
    <w:rsid w:val="00264F87"/>
    <w:pPr>
      <w:numPr>
        <w:ilvl w:val="4"/>
        <w:numId w:val="5"/>
      </w:numPr>
      <w:pBdr>
        <w:right w:val="single" w:sz="4" w:space="27" w:color="auto"/>
      </w:pBdr>
      <w:spacing w:before="60" w:after="60" w:line="300" w:lineRule="auto"/>
      <w:ind w:left="3969" w:right="567" w:hanging="907"/>
      <w:jc w:val="both"/>
    </w:pPr>
    <w:rPr>
      <w:rFonts w:ascii="Times New Roman" w:hAnsi="Times New Roman"/>
      <w:color w:val="000000"/>
    </w:rPr>
  </w:style>
  <w:style w:type="paragraph" w:customStyle="1" w:styleId="TCPBullet1">
    <w:name w:val="# TCP Bullet 1"/>
    <w:basedOn w:val="Normal"/>
    <w:rsid w:val="00264F87"/>
    <w:pPr>
      <w:numPr>
        <w:numId w:val="6"/>
      </w:numPr>
      <w:pBdr>
        <w:right w:val="single" w:sz="4" w:space="27" w:color="auto"/>
      </w:pBdr>
      <w:spacing w:before="60" w:after="60" w:line="300" w:lineRule="auto"/>
      <w:ind w:left="1021" w:right="567" w:hanging="454"/>
    </w:pPr>
    <w:rPr>
      <w:rFonts w:ascii="Times New Roman" w:hAnsi="Times New Roman"/>
      <w:color w:val="000000"/>
    </w:rPr>
  </w:style>
  <w:style w:type="paragraph" w:customStyle="1" w:styleId="TCPBullet2">
    <w:name w:val="# TCP Bullet 2"/>
    <w:basedOn w:val="Normal"/>
    <w:rsid w:val="00264F87"/>
    <w:pPr>
      <w:numPr>
        <w:ilvl w:val="1"/>
        <w:numId w:val="7"/>
      </w:numPr>
      <w:pBdr>
        <w:right w:val="single" w:sz="4" w:space="27" w:color="auto"/>
      </w:pBdr>
      <w:spacing w:before="60" w:after="60" w:line="300" w:lineRule="auto"/>
      <w:ind w:left="1475" w:right="567" w:hanging="454"/>
    </w:pPr>
    <w:rPr>
      <w:rFonts w:ascii="Times New Roman" w:hAnsi="Times New Roman"/>
      <w:color w:val="000000"/>
    </w:rPr>
  </w:style>
  <w:style w:type="paragraph" w:customStyle="1" w:styleId="TCPBullet3">
    <w:name w:val="# TCP Bullet 3"/>
    <w:basedOn w:val="Normal"/>
    <w:rsid w:val="00264F87"/>
    <w:pPr>
      <w:numPr>
        <w:ilvl w:val="2"/>
        <w:numId w:val="8"/>
      </w:numPr>
      <w:pBdr>
        <w:right w:val="single" w:sz="4" w:space="27" w:color="auto"/>
      </w:pBdr>
      <w:spacing w:before="60" w:after="60" w:line="300" w:lineRule="auto"/>
      <w:ind w:left="1928" w:right="567" w:hanging="454"/>
    </w:pPr>
    <w:rPr>
      <w:rFonts w:ascii="Times New Roman" w:hAnsi="Times New Roman"/>
      <w:color w:val="000000"/>
    </w:rPr>
  </w:style>
  <w:style w:type="paragraph" w:customStyle="1" w:styleId="TCPBullet4">
    <w:name w:val="# TCP Bullet 4"/>
    <w:basedOn w:val="Normal"/>
    <w:rsid w:val="00264F87"/>
    <w:pPr>
      <w:numPr>
        <w:ilvl w:val="3"/>
        <w:numId w:val="9"/>
      </w:numPr>
      <w:pBdr>
        <w:right w:val="single" w:sz="4" w:space="27" w:color="auto"/>
      </w:pBdr>
      <w:spacing w:before="60" w:after="60" w:line="300" w:lineRule="auto"/>
      <w:ind w:left="2382" w:right="567" w:hanging="454"/>
    </w:pPr>
    <w:rPr>
      <w:rFonts w:ascii="Times New Roman" w:hAnsi="Times New Roman"/>
      <w:color w:val="000000"/>
    </w:rPr>
  </w:style>
  <w:style w:type="paragraph" w:customStyle="1" w:styleId="TCPBullet5">
    <w:name w:val="# TCP Bullet 5"/>
    <w:basedOn w:val="Normal"/>
    <w:rsid w:val="00264F87"/>
    <w:pPr>
      <w:numPr>
        <w:ilvl w:val="4"/>
        <w:numId w:val="10"/>
      </w:numPr>
      <w:pBdr>
        <w:right w:val="single" w:sz="4" w:space="27" w:color="auto"/>
      </w:pBdr>
      <w:spacing w:before="60" w:after="60" w:line="300" w:lineRule="auto"/>
      <w:ind w:left="2835" w:right="567" w:hanging="454"/>
    </w:pPr>
    <w:rPr>
      <w:rFonts w:ascii="Times New Roman" w:hAnsi="Times New Roman"/>
      <w:color w:val="000000"/>
    </w:rPr>
  </w:style>
  <w:style w:type="character" w:customStyle="1" w:styleId="Heading2Char">
    <w:name w:val="Heading 2 Char"/>
    <w:link w:val="Heading2"/>
    <w:uiPriority w:val="9"/>
    <w:semiHidden/>
    <w:rsid w:val="00264F87"/>
    <w:rPr>
      <w:rFonts w:ascii="Cambria" w:eastAsia="Times New Roman" w:hAnsi="Cambria"/>
      <w:b/>
      <w:bCs/>
      <w:color w:val="4F81BD"/>
      <w:sz w:val="26"/>
      <w:szCs w:val="26"/>
      <w:lang w:eastAsia="en-US"/>
    </w:rPr>
  </w:style>
  <w:style w:type="paragraph" w:styleId="TOC1">
    <w:name w:val="toc 1"/>
    <w:basedOn w:val="TCPTOCLevel1"/>
    <w:next w:val="Normal"/>
    <w:autoRedefine/>
    <w:uiPriority w:val="39"/>
    <w:unhideWhenUsed/>
    <w:rsid w:val="006E3BEC"/>
    <w:rPr>
      <w:rFonts w:ascii="VIC SemiBold" w:hAnsi="VIC SemiBold"/>
      <w:b w:val="0"/>
    </w:rPr>
  </w:style>
  <w:style w:type="paragraph" w:styleId="TOC2">
    <w:name w:val="toc 2"/>
    <w:basedOn w:val="TCPTOCLevel2"/>
    <w:next w:val="Normal"/>
    <w:autoRedefine/>
    <w:uiPriority w:val="39"/>
    <w:unhideWhenUsed/>
    <w:rsid w:val="006E3BEC"/>
    <w:rPr>
      <w:b w:val="0"/>
    </w:rPr>
  </w:style>
  <w:style w:type="paragraph" w:styleId="TOC3">
    <w:name w:val="toc 3"/>
    <w:basedOn w:val="TCPTOCLevel3"/>
    <w:next w:val="Normal"/>
    <w:autoRedefine/>
    <w:uiPriority w:val="39"/>
    <w:unhideWhenUsed/>
    <w:rsid w:val="00335417"/>
  </w:style>
  <w:style w:type="character" w:customStyle="1" w:styleId="Heading3Char">
    <w:name w:val="Heading 3 Char"/>
    <w:link w:val="Heading3"/>
    <w:uiPriority w:val="9"/>
    <w:semiHidden/>
    <w:rsid w:val="00264F87"/>
    <w:rPr>
      <w:rFonts w:ascii="Cambria" w:eastAsia="Times New Roman" w:hAnsi="Cambria"/>
      <w:b/>
      <w:bCs/>
      <w:color w:val="4F81BD"/>
      <w:sz w:val="22"/>
      <w:szCs w:val="22"/>
      <w:lang w:eastAsia="en-US"/>
    </w:rPr>
  </w:style>
  <w:style w:type="character" w:styleId="Hyperlink">
    <w:name w:val="Hyperlink"/>
    <w:uiPriority w:val="99"/>
    <w:unhideWhenUsed/>
    <w:rsid w:val="00264F87"/>
    <w:rPr>
      <w:color w:val="004C97"/>
      <w:u w:val="single"/>
    </w:rPr>
  </w:style>
  <w:style w:type="paragraph" w:customStyle="1" w:styleId="TCPTOCtitle">
    <w:name w:val="TCP TOC title"/>
    <w:basedOn w:val="Normal"/>
    <w:qFormat/>
    <w:rsid w:val="00335417"/>
    <w:pPr>
      <w:spacing w:before="280" w:after="280"/>
      <w:outlineLvl w:val="0"/>
    </w:pPr>
    <w:rPr>
      <w:rFonts w:ascii="VIC SemiBold" w:hAnsi="VIC SemiBold"/>
      <w:color w:val="004C97"/>
      <w:sz w:val="28"/>
      <w:szCs w:val="28"/>
    </w:rPr>
  </w:style>
  <w:style w:type="character" w:styleId="PlaceholderText">
    <w:name w:val="Placeholder Text"/>
    <w:uiPriority w:val="99"/>
    <w:semiHidden/>
    <w:rsid w:val="00264F87"/>
    <w:rPr>
      <w:color w:val="808080"/>
    </w:rPr>
  </w:style>
  <w:style w:type="paragraph" w:styleId="BalloonText">
    <w:name w:val="Balloon Text"/>
    <w:basedOn w:val="Normal"/>
    <w:link w:val="BalloonTextChar"/>
    <w:uiPriority w:val="99"/>
    <w:semiHidden/>
    <w:unhideWhenUsed/>
    <w:rsid w:val="00264F87"/>
    <w:pPr>
      <w:spacing w:after="0"/>
    </w:pPr>
    <w:rPr>
      <w:rFonts w:ascii="Tahoma" w:hAnsi="Tahoma" w:cs="Tahoma"/>
      <w:sz w:val="16"/>
      <w:szCs w:val="16"/>
    </w:rPr>
  </w:style>
  <w:style w:type="character" w:customStyle="1" w:styleId="BalloonTextChar">
    <w:name w:val="Balloon Text Char"/>
    <w:link w:val="BalloonText"/>
    <w:uiPriority w:val="99"/>
    <w:semiHidden/>
    <w:rsid w:val="00264F87"/>
    <w:rPr>
      <w:rFonts w:ascii="Tahoma" w:hAnsi="Tahoma" w:cs="Tahoma"/>
      <w:color w:val="53565A"/>
      <w:sz w:val="16"/>
      <w:szCs w:val="16"/>
      <w:lang w:eastAsia="en-US"/>
    </w:rPr>
  </w:style>
  <w:style w:type="paragraph" w:customStyle="1" w:styleId="TCPBodyIdent1">
    <w:name w:val="# TCP Body Ident 1"/>
    <w:basedOn w:val="TCPBodyNormal0"/>
    <w:rsid w:val="00264F87"/>
    <w:pPr>
      <w:ind w:left="1021" w:hanging="454"/>
    </w:pPr>
  </w:style>
  <w:style w:type="paragraph" w:customStyle="1" w:styleId="TCPBodyIdent2">
    <w:name w:val="# TCP Body Ident 2"/>
    <w:basedOn w:val="TCPBodyNormal0"/>
    <w:rsid w:val="00264F87"/>
    <w:pPr>
      <w:ind w:left="1475" w:hanging="454"/>
    </w:pPr>
  </w:style>
  <w:style w:type="paragraph" w:customStyle="1" w:styleId="TCPBodyIdent3">
    <w:name w:val="# TCP Body Ident 3"/>
    <w:basedOn w:val="TCPBodyNormal0"/>
    <w:rsid w:val="00264F87"/>
    <w:pPr>
      <w:ind w:left="1928" w:hanging="454"/>
    </w:pPr>
  </w:style>
  <w:style w:type="paragraph" w:customStyle="1" w:styleId="TCPBodyIdent4">
    <w:name w:val="# TCP Body Ident 4"/>
    <w:basedOn w:val="TCPBodyNormal0"/>
    <w:rsid w:val="00264F87"/>
    <w:pPr>
      <w:ind w:left="2382" w:hanging="454"/>
    </w:pPr>
  </w:style>
  <w:style w:type="paragraph" w:customStyle="1" w:styleId="TCPBodyIdent5">
    <w:name w:val="# TCP Body Ident 5"/>
    <w:basedOn w:val="TCPBodyNormal0"/>
    <w:rsid w:val="00264F87"/>
    <w:pPr>
      <w:ind w:left="2835" w:hanging="454"/>
    </w:pPr>
  </w:style>
  <w:style w:type="paragraph" w:customStyle="1" w:styleId="BodyVPSC">
    <w:name w:val="Body VPSC"/>
    <w:link w:val="BodyVPSCChar"/>
    <w:qFormat/>
    <w:rsid w:val="00264F87"/>
    <w:pPr>
      <w:spacing w:after="100" w:line="276" w:lineRule="auto"/>
    </w:pPr>
    <w:rPr>
      <w:rFonts w:ascii="Arial" w:eastAsia="Times New Roman" w:hAnsi="Arial" w:cs="Tahoma"/>
      <w:color w:val="000000" w:themeColor="text1"/>
    </w:rPr>
  </w:style>
  <w:style w:type="paragraph" w:customStyle="1" w:styleId="Bullet2VPSC">
    <w:name w:val="Bullet 2 VPSC"/>
    <w:basedOn w:val="Normal"/>
    <w:qFormat/>
    <w:rsid w:val="00264F87"/>
    <w:pPr>
      <w:numPr>
        <w:numId w:val="11"/>
      </w:numPr>
      <w:spacing w:after="100"/>
    </w:pPr>
    <w:rPr>
      <w:rFonts w:ascii="Arial" w:hAnsi="Arial" w:cs="Tahoma"/>
      <w:sz w:val="20"/>
      <w:szCs w:val="20"/>
    </w:rPr>
  </w:style>
  <w:style w:type="character" w:customStyle="1" w:styleId="BodyVPSCChar">
    <w:name w:val="Body VPSC Char"/>
    <w:basedOn w:val="DefaultParagraphFont"/>
    <w:link w:val="BodyVPSC"/>
    <w:rsid w:val="00264F87"/>
    <w:rPr>
      <w:rFonts w:ascii="Arial" w:eastAsia="Times New Roman" w:hAnsi="Arial" w:cs="Tahoma"/>
      <w:color w:val="000000" w:themeColor="text1"/>
    </w:rPr>
  </w:style>
  <w:style w:type="paragraph" w:customStyle="1" w:styleId="bodycopy">
    <w:name w:val="# body copy"/>
    <w:basedOn w:val="Normal"/>
    <w:qFormat/>
    <w:rsid w:val="004B0246"/>
    <w:pPr>
      <w:spacing w:after="120" w:line="240" w:lineRule="auto"/>
    </w:pPr>
    <w:rPr>
      <w:rFonts w:ascii="VIC" w:eastAsia="Times New Roman" w:hAnsi="VIC" w:cs="Arial"/>
      <w:color w:val="53565A"/>
      <w:sz w:val="20"/>
      <w:szCs w:val="20"/>
      <w:lang w:eastAsia="en-AU"/>
    </w:rPr>
  </w:style>
  <w:style w:type="paragraph" w:customStyle="1" w:styleId="dotpoints">
    <w:name w:val="# dot points"/>
    <w:basedOn w:val="Normal"/>
    <w:qFormat/>
    <w:rsid w:val="004B0246"/>
    <w:pPr>
      <w:keepLines/>
      <w:numPr>
        <w:numId w:val="16"/>
      </w:numPr>
      <w:spacing w:before="180" w:after="180" w:line="300" w:lineRule="auto"/>
      <w:ind w:left="357" w:hanging="357"/>
      <w:contextualSpacing/>
    </w:pPr>
    <w:rPr>
      <w:rFonts w:ascii="Arial" w:eastAsia="Times New Roman" w:hAnsi="Arial" w:cs="Arial"/>
      <w:color w:val="53565A"/>
      <w:sz w:val="20"/>
      <w:szCs w:val="20"/>
      <w:lang w:eastAsia="en-AU"/>
    </w:rPr>
  </w:style>
  <w:style w:type="table" w:styleId="GridTable4-Accent1">
    <w:name w:val="Grid Table 4 Accent 1"/>
    <w:basedOn w:val="TableNormal"/>
    <w:uiPriority w:val="49"/>
    <w:rsid w:val="00DB6DE8"/>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rsid w:val="00BB3781"/>
    <w:pPr>
      <w:ind w:left="720"/>
      <w:contextualSpacing/>
    </w:pPr>
  </w:style>
  <w:style w:type="paragraph" w:customStyle="1" w:styleId="heading2black">
    <w:name w:val="# heading 2 black"/>
    <w:basedOn w:val="Normal"/>
    <w:next w:val="bodycopy"/>
    <w:qFormat/>
    <w:rsid w:val="00335417"/>
    <w:pPr>
      <w:keepNext/>
      <w:spacing w:before="240" w:after="120" w:line="240" w:lineRule="auto"/>
    </w:pPr>
    <w:rPr>
      <w:rFonts w:ascii="VIC SemiBold" w:eastAsia="Times New Roman" w:hAnsi="VIC SemiBold" w:cs="Arial"/>
      <w:sz w:val="20"/>
      <w:szCs w:val="20"/>
      <w:lang w:eastAsia="en-AU"/>
    </w:rPr>
  </w:style>
  <w:style w:type="character" w:styleId="UnresolvedMention">
    <w:name w:val="Unresolved Mention"/>
    <w:basedOn w:val="DefaultParagraphFont"/>
    <w:uiPriority w:val="99"/>
    <w:semiHidden/>
    <w:unhideWhenUsed/>
    <w:rsid w:val="00CC35CC"/>
    <w:rPr>
      <w:color w:val="605E5C"/>
      <w:shd w:val="clear" w:color="auto" w:fill="E1DFDD"/>
    </w:rPr>
  </w:style>
  <w:style w:type="table" w:styleId="TableGrid">
    <w:name w:val="Table Grid"/>
    <w:basedOn w:val="TableNormal"/>
    <w:rsid w:val="00CC35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 table titles"/>
    <w:basedOn w:val="Normal"/>
    <w:qFormat/>
    <w:rsid w:val="00CC35CC"/>
    <w:pPr>
      <w:spacing w:before="60" w:after="60" w:line="240" w:lineRule="auto"/>
    </w:pPr>
    <w:rPr>
      <w:rFonts w:ascii="Arial" w:eastAsia="Times New Roman" w:hAnsi="Arial" w:cs="Arial"/>
      <w:b/>
      <w:color w:val="FFFFFF"/>
      <w:sz w:val="18"/>
      <w:szCs w:val="20"/>
      <w:lang w:eastAsia="en-AU"/>
    </w:rPr>
  </w:style>
  <w:style w:type="paragraph" w:customStyle="1" w:styleId="tabletext">
    <w:name w:val="# table text"/>
    <w:basedOn w:val="Normal"/>
    <w:qFormat/>
    <w:rsid w:val="00CC35CC"/>
    <w:pPr>
      <w:spacing w:before="60" w:after="60" w:line="240" w:lineRule="auto"/>
    </w:pPr>
    <w:rPr>
      <w:rFonts w:ascii="Arial" w:eastAsia="Times New Roman" w:hAnsi="Arial" w:cs="Arial"/>
      <w:color w:val="53565A"/>
      <w:sz w:val="18"/>
      <w:szCs w:val="18"/>
      <w:lang w:eastAsia="en-AU"/>
    </w:rPr>
  </w:style>
  <w:style w:type="paragraph" w:customStyle="1" w:styleId="Level1">
    <w:name w:val="Level 1"/>
    <w:next w:val="Normal"/>
    <w:qFormat/>
    <w:rsid w:val="00A1461C"/>
    <w:pPr>
      <w:keepNext/>
      <w:numPr>
        <w:numId w:val="29"/>
      </w:numPr>
      <w:spacing w:before="480" w:after="60"/>
      <w:outlineLvl w:val="2"/>
    </w:pPr>
    <w:rPr>
      <w:rFonts w:ascii="Times New Roman" w:eastAsia="Times New Roman" w:hAnsi="Times New Roman" w:cs="Arial"/>
      <w:b/>
      <w:bCs/>
      <w:kern w:val="32"/>
      <w:sz w:val="28"/>
      <w:szCs w:val="32"/>
    </w:rPr>
  </w:style>
  <w:style w:type="paragraph" w:customStyle="1" w:styleId="Level2">
    <w:name w:val="Level 2"/>
    <w:next w:val="Normal"/>
    <w:qFormat/>
    <w:rsid w:val="00A1461C"/>
    <w:pPr>
      <w:numPr>
        <w:ilvl w:val="1"/>
        <w:numId w:val="29"/>
      </w:numPr>
      <w:spacing w:before="200" w:after="60"/>
      <w:jc w:val="both"/>
      <w:outlineLvl w:val="3"/>
    </w:pPr>
    <w:rPr>
      <w:rFonts w:asciiTheme="majorHAnsi" w:eastAsiaTheme="majorEastAsia" w:hAnsiTheme="majorHAnsi" w:cs="Arial"/>
      <w:bCs/>
      <w:iCs/>
      <w:color w:val="4F81BD" w:themeColor="accent1"/>
      <w:sz w:val="24"/>
      <w:szCs w:val="28"/>
      <w:lang w:val="en-GB"/>
    </w:rPr>
  </w:style>
  <w:style w:type="paragraph" w:customStyle="1" w:styleId="Level3">
    <w:name w:val="Level 3"/>
    <w:basedOn w:val="Normal"/>
    <w:next w:val="Normal"/>
    <w:link w:val="Level3Char"/>
    <w:qFormat/>
    <w:rsid w:val="00A1461C"/>
    <w:pPr>
      <w:numPr>
        <w:ilvl w:val="2"/>
        <w:numId w:val="29"/>
      </w:numPr>
      <w:spacing w:before="200" w:after="0" w:line="240" w:lineRule="auto"/>
      <w:jc w:val="both"/>
      <w:outlineLvl w:val="4"/>
    </w:pPr>
    <w:rPr>
      <w:rFonts w:ascii="Times New Roman" w:eastAsia="Times New Roman" w:hAnsi="Times New Roman" w:cs="Times New Roman"/>
      <w:sz w:val="24"/>
      <w:szCs w:val="24"/>
      <w:lang w:eastAsia="en-AU"/>
    </w:rPr>
  </w:style>
  <w:style w:type="paragraph" w:customStyle="1" w:styleId="Level4">
    <w:name w:val="Level 4"/>
    <w:basedOn w:val="Normal"/>
    <w:next w:val="Normal"/>
    <w:qFormat/>
    <w:rsid w:val="00A1461C"/>
    <w:pPr>
      <w:numPr>
        <w:ilvl w:val="3"/>
        <w:numId w:val="29"/>
      </w:numPr>
      <w:spacing w:before="200" w:after="0" w:line="240" w:lineRule="auto"/>
      <w:jc w:val="both"/>
      <w:outlineLvl w:val="5"/>
    </w:pPr>
    <w:rPr>
      <w:rFonts w:ascii="Times New Roman" w:eastAsia="Times New Roman" w:hAnsi="Times New Roman" w:cs="Times New Roman"/>
      <w:bCs/>
      <w:sz w:val="24"/>
      <w:szCs w:val="28"/>
      <w:lang w:eastAsia="en-AU"/>
    </w:rPr>
  </w:style>
  <w:style w:type="character" w:customStyle="1" w:styleId="Level3Char">
    <w:name w:val="Level 3 Char"/>
    <w:basedOn w:val="DefaultParagraphFont"/>
    <w:link w:val="Level3"/>
    <w:rsid w:val="00A1461C"/>
    <w:rPr>
      <w:rFonts w:ascii="Times New Roman" w:eastAsia="Times New Roman" w:hAnsi="Times New Roman"/>
      <w:sz w:val="24"/>
      <w:szCs w:val="24"/>
    </w:rPr>
  </w:style>
  <w:style w:type="paragraph" w:customStyle="1" w:styleId="EBAcontent">
    <w:name w:val="EBA content"/>
    <w:basedOn w:val="TCPHeading20"/>
    <w:link w:val="EBAcontentChar"/>
    <w:qFormat/>
    <w:rsid w:val="006E3BEC"/>
    <w:pPr>
      <w:pBdr>
        <w:right w:val="none" w:sz="0" w:space="0" w:color="auto"/>
      </w:pBdr>
      <w:tabs>
        <w:tab w:val="left" w:pos="2340"/>
      </w:tabs>
      <w:ind w:left="709"/>
    </w:pPr>
    <w:rPr>
      <w:b/>
      <w:sz w:val="36"/>
      <w:szCs w:val="36"/>
    </w:rPr>
  </w:style>
  <w:style w:type="paragraph" w:customStyle="1" w:styleId="EBAbodycontent">
    <w:name w:val="EBA body content"/>
    <w:basedOn w:val="TCPHeading2"/>
    <w:link w:val="EBAbodycontentChar"/>
    <w:qFormat/>
    <w:rsid w:val="006E3BEC"/>
    <w:rPr>
      <w:rFonts w:ascii="Times New Roman" w:eastAsia="Times New Roman" w:hAnsi="Times New Roman"/>
      <w:color w:val="auto"/>
      <w:sz w:val="22"/>
      <w:szCs w:val="22"/>
      <w:lang w:eastAsia="en-AU"/>
    </w:rPr>
  </w:style>
  <w:style w:type="character" w:customStyle="1" w:styleId="TCPHeading1Char">
    <w:name w:val="TCP Heading 1 Char"/>
    <w:basedOn w:val="DefaultParagraphFont"/>
    <w:link w:val="TCPHeading1"/>
    <w:rsid w:val="006E3BEC"/>
    <w:rPr>
      <w:rFonts w:ascii="VIC" w:hAnsi="VIC"/>
      <w:b/>
      <w:color w:val="004C97"/>
      <w:sz w:val="36"/>
      <w:szCs w:val="36"/>
      <w:lang w:eastAsia="en-US"/>
    </w:rPr>
  </w:style>
  <w:style w:type="character" w:customStyle="1" w:styleId="TCPHeading2Char">
    <w:name w:val="TCP Heading 2 Char"/>
    <w:basedOn w:val="TCPHeading1Char"/>
    <w:link w:val="TCPHeading2"/>
    <w:rsid w:val="006E3BEC"/>
    <w:rPr>
      <w:rFonts w:ascii="VIC" w:hAnsi="VIC"/>
      <w:b w:val="0"/>
      <w:color w:val="004C97"/>
      <w:sz w:val="32"/>
      <w:szCs w:val="32"/>
      <w:lang w:eastAsia="en-US"/>
    </w:rPr>
  </w:style>
  <w:style w:type="character" w:customStyle="1" w:styleId="TCPHeading2Char0">
    <w:name w:val="# TCP Heading 2 Char"/>
    <w:basedOn w:val="TCPHeading2Char"/>
    <w:link w:val="TCPHeading20"/>
    <w:rsid w:val="006E3BEC"/>
    <w:rPr>
      <w:rFonts w:ascii="Times New Roman" w:hAnsi="Times New Roman"/>
      <w:b w:val="0"/>
      <w:color w:val="000000"/>
      <w:sz w:val="32"/>
      <w:szCs w:val="32"/>
      <w:lang w:eastAsia="en-US"/>
    </w:rPr>
  </w:style>
  <w:style w:type="character" w:customStyle="1" w:styleId="EBAcontentChar">
    <w:name w:val="EBA content Char"/>
    <w:basedOn w:val="TCPHeading2Char0"/>
    <w:link w:val="EBAcontent"/>
    <w:rsid w:val="006E3BEC"/>
    <w:rPr>
      <w:rFonts w:ascii="Times New Roman" w:hAnsi="Times New Roman"/>
      <w:b/>
      <w:color w:val="000000"/>
      <w:sz w:val="36"/>
      <w:szCs w:val="36"/>
      <w:lang w:eastAsia="en-US"/>
    </w:rPr>
  </w:style>
  <w:style w:type="paragraph" w:customStyle="1" w:styleId="EBAnumbercontent">
    <w:name w:val="EBA number content"/>
    <w:basedOn w:val="TCPHeading2"/>
    <w:link w:val="EBAnumbercontentChar"/>
    <w:qFormat/>
    <w:rsid w:val="006E3BEC"/>
    <w:pPr>
      <w:numPr>
        <w:numId w:val="33"/>
      </w:numPr>
    </w:pPr>
    <w:rPr>
      <w:rFonts w:ascii="Times New Roman" w:eastAsia="Times New Roman" w:hAnsi="Times New Roman"/>
      <w:color w:val="auto"/>
      <w:sz w:val="22"/>
      <w:szCs w:val="22"/>
      <w:lang w:eastAsia="en-AU"/>
    </w:rPr>
  </w:style>
  <w:style w:type="character" w:customStyle="1" w:styleId="EBAbodycontentChar">
    <w:name w:val="EBA body content Char"/>
    <w:basedOn w:val="TCPHeading2Char"/>
    <w:link w:val="EBAbodycontent"/>
    <w:rsid w:val="006E3BEC"/>
    <w:rPr>
      <w:rFonts w:ascii="Times New Roman" w:eastAsia="Times New Roman" w:hAnsi="Times New Roman"/>
      <w:b w:val="0"/>
      <w:color w:val="004C97"/>
      <w:sz w:val="22"/>
      <w:szCs w:val="22"/>
      <w:lang w:eastAsia="en-US"/>
    </w:rPr>
  </w:style>
  <w:style w:type="character" w:customStyle="1" w:styleId="EBAnumbercontentChar">
    <w:name w:val="EBA number content Char"/>
    <w:basedOn w:val="TCPHeading2Char"/>
    <w:link w:val="EBAnumbercontent"/>
    <w:rsid w:val="006E3BEC"/>
    <w:rPr>
      <w:rFonts w:ascii="Times New Roman" w:eastAsia="Times New Roman" w:hAnsi="Times New Roman"/>
      <w:b w:val="0"/>
      <w:color w:val="004C97"/>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conomicdevelopment.vic.gov.au/__data/assets/pdf_file/0018/1355310/IR_Public_Sector_Industrial_Relations_Policies_2015.pdf" TargetMode="External"/><Relationship Id="rId4" Type="http://schemas.openxmlformats.org/officeDocument/2006/relationships/styles" Target="styles.xml"/><Relationship Id="rId9" Type="http://schemas.openxmlformats.org/officeDocument/2006/relationships/hyperlink" Target="https://vpsc.vic.gov.au/vps-enterprise-agreement-common-polici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vpsc.vic.gov.au/vps-enterprise-agreement-comm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972C76-E3AB-4704-9E66-56FED5E9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3103</Words>
  <Characters>17693</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Links>
    <vt:vector size="90" baseType="variant">
      <vt:variant>
        <vt:i4>1703984</vt:i4>
      </vt:variant>
      <vt:variant>
        <vt:i4>86</vt:i4>
      </vt:variant>
      <vt:variant>
        <vt:i4>0</vt:i4>
      </vt:variant>
      <vt:variant>
        <vt:i4>5</vt:i4>
      </vt:variant>
      <vt:variant>
        <vt:lpwstr/>
      </vt:variant>
      <vt:variant>
        <vt:lpwstr>_Toc523825423</vt:lpwstr>
      </vt:variant>
      <vt:variant>
        <vt:i4>1703984</vt:i4>
      </vt:variant>
      <vt:variant>
        <vt:i4>80</vt:i4>
      </vt:variant>
      <vt:variant>
        <vt:i4>0</vt:i4>
      </vt:variant>
      <vt:variant>
        <vt:i4>5</vt:i4>
      </vt:variant>
      <vt:variant>
        <vt:lpwstr/>
      </vt:variant>
      <vt:variant>
        <vt:lpwstr>_Toc523825422</vt:lpwstr>
      </vt:variant>
      <vt:variant>
        <vt:i4>1703984</vt:i4>
      </vt:variant>
      <vt:variant>
        <vt:i4>74</vt:i4>
      </vt:variant>
      <vt:variant>
        <vt:i4>0</vt:i4>
      </vt:variant>
      <vt:variant>
        <vt:i4>5</vt:i4>
      </vt:variant>
      <vt:variant>
        <vt:lpwstr/>
      </vt:variant>
      <vt:variant>
        <vt:lpwstr>_Toc523825421</vt:lpwstr>
      </vt:variant>
      <vt:variant>
        <vt:i4>1703984</vt:i4>
      </vt:variant>
      <vt:variant>
        <vt:i4>68</vt:i4>
      </vt:variant>
      <vt:variant>
        <vt:i4>0</vt:i4>
      </vt:variant>
      <vt:variant>
        <vt:i4>5</vt:i4>
      </vt:variant>
      <vt:variant>
        <vt:lpwstr/>
      </vt:variant>
      <vt:variant>
        <vt:lpwstr>_Toc523825420</vt:lpwstr>
      </vt:variant>
      <vt:variant>
        <vt:i4>1638448</vt:i4>
      </vt:variant>
      <vt:variant>
        <vt:i4>62</vt:i4>
      </vt:variant>
      <vt:variant>
        <vt:i4>0</vt:i4>
      </vt:variant>
      <vt:variant>
        <vt:i4>5</vt:i4>
      </vt:variant>
      <vt:variant>
        <vt:lpwstr/>
      </vt:variant>
      <vt:variant>
        <vt:lpwstr>_Toc523825419</vt:lpwstr>
      </vt:variant>
      <vt:variant>
        <vt:i4>1638448</vt:i4>
      </vt:variant>
      <vt:variant>
        <vt:i4>56</vt:i4>
      </vt:variant>
      <vt:variant>
        <vt:i4>0</vt:i4>
      </vt:variant>
      <vt:variant>
        <vt:i4>5</vt:i4>
      </vt:variant>
      <vt:variant>
        <vt:lpwstr/>
      </vt:variant>
      <vt:variant>
        <vt:lpwstr>_Toc523825418</vt:lpwstr>
      </vt:variant>
      <vt:variant>
        <vt:i4>1638448</vt:i4>
      </vt:variant>
      <vt:variant>
        <vt:i4>50</vt:i4>
      </vt:variant>
      <vt:variant>
        <vt:i4>0</vt:i4>
      </vt:variant>
      <vt:variant>
        <vt:i4>5</vt:i4>
      </vt:variant>
      <vt:variant>
        <vt:lpwstr/>
      </vt:variant>
      <vt:variant>
        <vt:lpwstr>_Toc523825417</vt:lpwstr>
      </vt:variant>
      <vt:variant>
        <vt:i4>1638448</vt:i4>
      </vt:variant>
      <vt:variant>
        <vt:i4>44</vt:i4>
      </vt:variant>
      <vt:variant>
        <vt:i4>0</vt:i4>
      </vt:variant>
      <vt:variant>
        <vt:i4>5</vt:i4>
      </vt:variant>
      <vt:variant>
        <vt:lpwstr/>
      </vt:variant>
      <vt:variant>
        <vt:lpwstr>_Toc523825416</vt:lpwstr>
      </vt:variant>
      <vt:variant>
        <vt:i4>1638448</vt:i4>
      </vt:variant>
      <vt:variant>
        <vt:i4>38</vt:i4>
      </vt:variant>
      <vt:variant>
        <vt:i4>0</vt:i4>
      </vt:variant>
      <vt:variant>
        <vt:i4>5</vt:i4>
      </vt:variant>
      <vt:variant>
        <vt:lpwstr/>
      </vt:variant>
      <vt:variant>
        <vt:lpwstr>_Toc523825415</vt:lpwstr>
      </vt:variant>
      <vt:variant>
        <vt:i4>1638448</vt:i4>
      </vt:variant>
      <vt:variant>
        <vt:i4>32</vt:i4>
      </vt:variant>
      <vt:variant>
        <vt:i4>0</vt:i4>
      </vt:variant>
      <vt:variant>
        <vt:i4>5</vt:i4>
      </vt:variant>
      <vt:variant>
        <vt:lpwstr/>
      </vt:variant>
      <vt:variant>
        <vt:lpwstr>_Toc523825414</vt:lpwstr>
      </vt:variant>
      <vt:variant>
        <vt:i4>1638448</vt:i4>
      </vt:variant>
      <vt:variant>
        <vt:i4>26</vt:i4>
      </vt:variant>
      <vt:variant>
        <vt:i4>0</vt:i4>
      </vt:variant>
      <vt:variant>
        <vt:i4>5</vt:i4>
      </vt:variant>
      <vt:variant>
        <vt:lpwstr/>
      </vt:variant>
      <vt:variant>
        <vt:lpwstr>_Toc523825413</vt:lpwstr>
      </vt:variant>
      <vt:variant>
        <vt:i4>1638448</vt:i4>
      </vt:variant>
      <vt:variant>
        <vt:i4>20</vt:i4>
      </vt:variant>
      <vt:variant>
        <vt:i4>0</vt:i4>
      </vt:variant>
      <vt:variant>
        <vt:i4>5</vt:i4>
      </vt:variant>
      <vt:variant>
        <vt:lpwstr/>
      </vt:variant>
      <vt:variant>
        <vt:lpwstr>_Toc523825412</vt:lpwstr>
      </vt:variant>
      <vt:variant>
        <vt:i4>1638448</vt:i4>
      </vt:variant>
      <vt:variant>
        <vt:i4>14</vt:i4>
      </vt:variant>
      <vt:variant>
        <vt:i4>0</vt:i4>
      </vt:variant>
      <vt:variant>
        <vt:i4>5</vt:i4>
      </vt:variant>
      <vt:variant>
        <vt:lpwstr/>
      </vt:variant>
      <vt:variant>
        <vt:lpwstr>_Toc523825411</vt:lpwstr>
      </vt:variant>
      <vt:variant>
        <vt:i4>1638448</vt:i4>
      </vt:variant>
      <vt:variant>
        <vt:i4>8</vt:i4>
      </vt:variant>
      <vt:variant>
        <vt:i4>0</vt:i4>
      </vt:variant>
      <vt:variant>
        <vt:i4>5</vt:i4>
      </vt:variant>
      <vt:variant>
        <vt:lpwstr/>
      </vt:variant>
      <vt:variant>
        <vt:lpwstr>_Toc523825410</vt:lpwstr>
      </vt:variant>
      <vt:variant>
        <vt:i4>1572912</vt:i4>
      </vt:variant>
      <vt:variant>
        <vt:i4>2</vt:i4>
      </vt:variant>
      <vt:variant>
        <vt:i4>0</vt:i4>
      </vt:variant>
      <vt:variant>
        <vt:i4>5</vt:i4>
      </vt:variant>
      <vt:variant>
        <vt:lpwstr/>
      </vt:variant>
      <vt:variant>
        <vt:lpwstr>_Toc523825409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2019-10-17T23:48:00Z</dcterms:created>
  <dcterms:modified xsi:type="dcterms:W3CDTF">2019-10-17T23:48:00Z</dcterms:modified>
  <cp:contentStatus/>
</cp:coreProperties>
</file>